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21608">
      <w:pPr>
        <w:jc w:val="center"/>
        <w:outlineLvl w:val="0"/>
        <w:rPr>
          <w:rFonts w:hint="eastAsia" w:ascii="Times New Roman" w:hAnsi="Times New Roman" w:eastAsia="宋体" w:cs="Times New Roman"/>
          <w:b/>
          <w:color w:val="auto"/>
          <w:sz w:val="30"/>
          <w:szCs w:val="30"/>
          <w:lang w:val="en-US" w:eastAsia="zh-CN"/>
        </w:rPr>
      </w:pPr>
      <w:r>
        <w:rPr>
          <w:rFonts w:hint="eastAsia" w:ascii="Times New Roman" w:hAnsi="Times New Roman" w:eastAsia="宋体" w:cs="Times New Roman"/>
          <w:b/>
          <w:color w:val="auto"/>
          <w:sz w:val="30"/>
          <w:szCs w:val="30"/>
          <w:lang w:val="en-US" w:eastAsia="zh-CN"/>
        </w:rPr>
        <w:t>慈善募捐管理制度</w:t>
      </w:r>
    </w:p>
    <w:p w14:paraId="3AEF29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1"/>
        <w:rPr>
          <w:rStyle w:val="5"/>
          <w:rFonts w:hint="eastAsia" w:ascii="方正仿宋_GBK" w:hAnsi="方正仿宋_GBK" w:eastAsia="方正仿宋_GBK" w:cs="方正仿宋_GBK"/>
          <w:i w:val="0"/>
          <w:iCs w:val="0"/>
          <w:caps w:val="0"/>
          <w:color w:val="auto"/>
          <w:spacing w:val="8"/>
          <w:sz w:val="24"/>
          <w:szCs w:val="24"/>
          <w:shd w:val="clear" w:color="auto" w:fill="FFFFFF"/>
          <w:lang w:val="en-US" w:eastAsia="zh-CN"/>
        </w:rPr>
      </w:pPr>
      <w:bookmarkStart w:id="0" w:name="_Toc17899"/>
      <w:r>
        <w:rPr>
          <w:rStyle w:val="5"/>
          <w:rFonts w:hint="eastAsia" w:ascii="方正仿宋_GBK" w:hAnsi="方正仿宋_GBK" w:eastAsia="方正仿宋_GBK" w:cs="方正仿宋_GBK"/>
          <w:i w:val="0"/>
          <w:iCs w:val="0"/>
          <w:caps w:val="0"/>
          <w:color w:val="auto"/>
          <w:spacing w:val="8"/>
          <w:sz w:val="24"/>
          <w:szCs w:val="24"/>
          <w:shd w:val="clear" w:color="auto" w:fill="FFFFFF"/>
          <w:lang w:val="en-US" w:eastAsia="zh-CN"/>
        </w:rPr>
        <w:t>第一部分 公开募捐制度</w:t>
      </w:r>
      <w:bookmarkEnd w:id="0"/>
    </w:p>
    <w:p w14:paraId="47AFA32E">
      <w:pPr>
        <w:keepNext w:val="0"/>
        <w:keepLines w:val="0"/>
        <w:pageBreakBefore w:val="0"/>
        <w:widowControl w:val="0"/>
        <w:kinsoku/>
        <w:wordWrap/>
        <w:overflowPunct/>
        <w:topLinePunct w:val="0"/>
        <w:autoSpaceDE/>
        <w:autoSpaceDN/>
        <w:bidi w:val="0"/>
        <w:adjustRightInd/>
        <w:snapToGrid/>
        <w:spacing w:line="320" w:lineRule="exact"/>
        <w:ind w:left="508" w:leftChars="242" w:firstLine="0" w:firstLineChars="0"/>
        <w:textAlignment w:val="auto"/>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一、总则</w:t>
      </w:r>
    </w:p>
    <w:p w14:paraId="64DD611A">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本制度旨在规范我组织的公开募捐行为，保证募捐活动的公正、透明，保护捐赠人的合法权益，以及确保善款的有效使用。</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在机构未有获得公开募捐资格前均不可实施公开募捐活动，或可以在具有公开募捐资格基金会或慈善组织的背书备案下方可实施。</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二、募捐对象</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本制度适用于我组织发起的所有公开募捐活动，包括但不限于项目资金、物资捐赠等。</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三、募捐流程</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申请与审批：任何部门或个人欲发起公开募捐，需提交详细的募捐计划书，经</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公共事务部</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和管理层审核通过后方可执行。</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信息发布：通过</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劝募平台、</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官方网站、社交媒体、邮件等合法渠道发布募捐信息，明确募捐目的、金额目标、使用计划等。</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3</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接受捐赠：设立专门的账户或平台接收捐赠，所有款项须通过合法途径入账。</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4</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公示反馈：定期公布募捐进度及捐款使用情况，接受公众监督。</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四、募捐管理</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、签订协议：对于有必要签订捐赠协议的，需要依法签订并履行捐赠协议，维护捐赠人合法权益。</w:t>
      </w:r>
    </w:p>
    <w:p w14:paraId="686A908C">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财务监管：所有捐款收入需记账，由专人负责，</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需要进行审计的则</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进行财务审计。</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3、</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信息公开：至少</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半年</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公布一次募捐和使用情况报告</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（按照相关平台规定执行）</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，详细列明善款来源、使用明细和剩余余额。</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五、捐赠人权益保护</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知情权：捐赠人有权了解募捐详情和捐款用途。</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查询权：捐赠人有权查询捐款去向，我组织应提供方便的查询途径。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3</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权益保障：如遇募捐资金挪用或滥用，捐赠人有权要求退款或追责。</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六、违规处理</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对于违反本制度的行为，将视情节轻重采取警告、纠正、停止募捐、退还捐款等措施，并视情况上报相关部门。</w:t>
      </w:r>
    </w:p>
    <w:p w14:paraId="359AF5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1"/>
        <w:rPr>
          <w:rStyle w:val="5"/>
          <w:rFonts w:hint="eastAsia" w:ascii="方正仿宋_GBK" w:hAnsi="方正仿宋_GBK" w:eastAsia="方正仿宋_GBK" w:cs="方正仿宋_GBK"/>
          <w:i w:val="0"/>
          <w:iCs w:val="0"/>
          <w:caps w:val="0"/>
          <w:color w:val="auto"/>
          <w:spacing w:val="8"/>
          <w:sz w:val="24"/>
          <w:szCs w:val="24"/>
          <w:shd w:val="clear" w:color="auto" w:fill="FFFFFF"/>
          <w:lang w:val="en-US" w:eastAsia="zh-CN"/>
        </w:rPr>
      </w:pPr>
      <w:bookmarkStart w:id="1" w:name="_Toc13704"/>
      <w:r>
        <w:rPr>
          <w:rStyle w:val="5"/>
          <w:rFonts w:hint="eastAsia" w:ascii="方正仿宋_GBK" w:hAnsi="方正仿宋_GBK" w:eastAsia="方正仿宋_GBK" w:cs="方正仿宋_GBK"/>
          <w:i w:val="0"/>
          <w:iCs w:val="0"/>
          <w:caps w:val="0"/>
          <w:color w:val="auto"/>
          <w:spacing w:val="8"/>
          <w:sz w:val="24"/>
          <w:szCs w:val="24"/>
          <w:shd w:val="clear" w:color="auto" w:fill="FFFFFF"/>
          <w:lang w:val="en-US" w:eastAsia="zh-CN"/>
        </w:rPr>
        <w:t>第二部分 定向募捐制度</w:t>
      </w:r>
      <w:bookmarkEnd w:id="1"/>
    </w:p>
    <w:p w14:paraId="30BC1505">
      <w:pPr>
        <w:keepNext w:val="0"/>
        <w:keepLines w:val="0"/>
        <w:pageBreakBefore w:val="0"/>
        <w:widowControl w:val="0"/>
        <w:kinsoku/>
        <w:wordWrap/>
        <w:overflowPunct/>
        <w:topLinePunct w:val="0"/>
        <w:autoSpaceDE/>
        <w:autoSpaceDN/>
        <w:bidi w:val="0"/>
        <w:adjustRightInd/>
        <w:snapToGrid/>
        <w:spacing w:line="320" w:lineRule="exact"/>
        <w:ind w:left="479" w:leftChars="228" w:firstLine="0" w:firstLineChars="0"/>
        <w:textAlignment w:val="auto"/>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一、总则</w:t>
      </w:r>
    </w:p>
    <w:p w14:paraId="5C329496">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本制度旨在规范我机构的定向募捐行为，确保捐赠资金的定向使用，尊重捐赠者意愿，同时提高募捐效率和透明度。</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原则上来说，在机构未有获得公开募捐资格前均不可实施公开募捐活动，或可以在具有公开募捐资格基金会或慈善组织的背书备案下方可实施。</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二、定向捐赠接收</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接受对象：定向捐赠针对特定项目、特定人群或特定地区的慈善活动。</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接收流程：捐赠者需明确指定捐赠目的，提供必要的信息以便我们准确接收和使用。</w:t>
      </w:r>
    </w:p>
    <w:p w14:paraId="2F9AEFD5">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3、签订协议：对于有必要签订捐赠协议的，需要依法签订并履行捐赠协议，维护捐赠人合法权益。</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三、捐赠信息管理</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信息记录：我们将详细记录每笔定向捐赠，包括</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线上线下指明定向捐赠的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捐赠者姓名/机构、捐赠金额、指定用途等</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（主要针对非线上项目劝募的情况）</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保密性：捐赠者信息仅用于履行捐赠合同，未经捐赠者同意，不得透露给第三方。</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四、项目管理</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项目审批：定向捐赠项目需经过项目评估小组审查</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（主要为公共事务部和机构执行理事、负责人审查）</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，确保符合慈善目标和捐赠者意愿。</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进度更新：定期向捐赠者提供项目的进展报告，确保透明度。</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五、资金使用</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专款专用：定向捐赠资金仅用于指定的项目或用途，不得挪作他用。</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定期审计：</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涉及大额捐赠且有必要进行审计的需要</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进行财务审计，确保资金使用合规。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六、捐赠者权益</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知情权：捐赠者有权了解其捐赠资金的使用情况和项目进度。</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更改权：捐赠者在符合法律法规的前提下，有权要求变更或终止捐赠。</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七、违规处理</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对于违反本制度的行为，如未按约定使用定向捐赠资金，将依据相关法律法规追究责任，并及时向捐赠者通报。</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八、修订与解释</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本制度由</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机构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负责制定和解释，如有必要，将根据慈善实践和法律法规进行调整</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本制度自发布之日起生效。</w:t>
      </w:r>
    </w:p>
    <w:p w14:paraId="7C5750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1"/>
        <w:rPr>
          <w:rStyle w:val="5"/>
          <w:rFonts w:hint="eastAsia" w:ascii="方正仿宋_GBK" w:hAnsi="方正仿宋_GBK" w:eastAsia="方正仿宋_GBK" w:cs="方正仿宋_GBK"/>
          <w:i w:val="0"/>
          <w:iCs w:val="0"/>
          <w:caps w:val="0"/>
          <w:color w:val="auto"/>
          <w:spacing w:val="8"/>
          <w:sz w:val="24"/>
          <w:szCs w:val="24"/>
          <w:shd w:val="clear" w:color="auto" w:fill="FFFFFF"/>
          <w:lang w:val="en-US" w:eastAsia="zh-CN"/>
        </w:rPr>
      </w:pPr>
      <w:bookmarkStart w:id="2" w:name="_Toc31556"/>
      <w:r>
        <w:rPr>
          <w:rStyle w:val="5"/>
          <w:rFonts w:hint="eastAsia" w:ascii="方正仿宋_GBK" w:hAnsi="方正仿宋_GBK" w:eastAsia="方正仿宋_GBK" w:cs="方正仿宋_GBK"/>
          <w:i w:val="0"/>
          <w:iCs w:val="0"/>
          <w:caps w:val="0"/>
          <w:color w:val="auto"/>
          <w:spacing w:val="8"/>
          <w:sz w:val="24"/>
          <w:szCs w:val="24"/>
          <w:shd w:val="clear" w:color="auto" w:fill="FFFFFF"/>
          <w:lang w:val="en-US" w:eastAsia="zh-CN"/>
        </w:rPr>
        <w:t>第三部分 捐赠财产管理使用制度</w:t>
      </w:r>
      <w:bookmarkEnd w:id="2"/>
    </w:p>
    <w:p w14:paraId="0E617C54">
      <w:pPr>
        <w:keepNext w:val="0"/>
        <w:keepLines w:val="0"/>
        <w:pageBreakBefore w:val="0"/>
        <w:widowControl w:val="0"/>
        <w:kinsoku/>
        <w:wordWrap/>
        <w:overflowPunct/>
        <w:topLinePunct w:val="0"/>
        <w:autoSpaceDE/>
        <w:autoSpaceDN/>
        <w:bidi w:val="0"/>
        <w:adjustRightInd/>
        <w:snapToGrid/>
        <w:spacing w:line="320" w:lineRule="exact"/>
        <w:ind w:left="479" w:leftChars="228" w:firstLine="0" w:firstLineChars="0"/>
        <w:textAlignment w:val="auto"/>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一、总则</w:t>
      </w:r>
    </w:p>
    <w:p w14:paraId="18A4B0A9">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本制度旨在规范我机构对捐赠财产的接收、管理、使用和处置过程，确保捐赠财产的有效利用，维护捐赠者的权益，推动公益事业发展。</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二、捐赠财产接收</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接收程序：接收捐赠财产需通过正式申请，明确财产类型、价值及用途，经批准后进行接收。</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接收记录：详细记录捐赠财产信息，包括捐赠者、接收日期、财产状况等。</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三、财产管理</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存储与维护：捐赠财产应妥善保管，定期检查，确保其安全和可用性。</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2、</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账目管理：设立独立的捐赠财产账户，定期进行账目核对，确保资产清晰。</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四、财产使用</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项目匹配：根据公益项目需求和捐赠财产性质，合理分配和使用捐赠财产。</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使用审批：重大财产使用需经过管理层审批，确保透明度和合规性。</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五、信息公开</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捐赠者信息：捐赠者有权了解其捐赠财产的使用情况，我们将定期发布使用报告。</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财务报告：年度财务报告中需包含捐赠财产的使用和收益情况。</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六、财产处置</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处置标准：当捐赠财产不再适合使用时，遵循公平、公开、透明的原则进行处置。</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收益分配：处置收益优先用于公益事业，如有剩余根据捐赠协议回馈捐赠者。</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七、违规处理</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对于违反本制度的行为，如擅自改变财产用途或挪用捐赠财产，将依法依规处理，并向捐赠者和相关监管机构报告。</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八、修订与解释</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本制度由</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机构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负责制定和解释根据实际情况修订。本制度自发布之日起生效。</w:t>
      </w:r>
    </w:p>
    <w:p w14:paraId="50358F6E">
      <w:pPr>
        <w:keepNext w:val="0"/>
        <w:keepLines w:val="0"/>
        <w:pageBreakBefore w:val="0"/>
        <w:widowControl w:val="0"/>
        <w:kinsoku/>
        <w:wordWrap/>
        <w:overflowPunct/>
        <w:topLinePunct w:val="0"/>
        <w:autoSpaceDE/>
        <w:autoSpaceDN/>
        <w:bidi w:val="0"/>
        <w:adjustRightInd/>
        <w:snapToGrid/>
        <w:spacing w:line="320" w:lineRule="exact"/>
        <w:ind w:left="257" w:hanging="256" w:hangingChars="100"/>
        <w:textAlignment w:val="auto"/>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 xml:space="preserve">第四部分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关联交易管理制度</w:t>
      </w:r>
    </w:p>
    <w:p w14:paraId="39FB4D18">
      <w:pPr>
        <w:keepNext w:val="0"/>
        <w:keepLines w:val="0"/>
        <w:pageBreakBefore w:val="0"/>
        <w:widowControl w:val="0"/>
        <w:kinsoku/>
        <w:wordWrap/>
        <w:overflowPunct/>
        <w:topLinePunct w:val="0"/>
        <w:autoSpaceDE/>
        <w:autoSpaceDN/>
        <w:bidi w:val="0"/>
        <w:adjustRightInd/>
        <w:snapToGrid/>
        <w:spacing w:line="320" w:lineRule="exact"/>
        <w:ind w:left="252" w:leftChars="120" w:firstLine="256" w:firstLineChars="100"/>
        <w:textAlignment w:val="auto"/>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一、总则</w:t>
      </w:r>
    </w:p>
    <w:p w14:paraId="231D234E">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本制度旨在规范我</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机构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内部与关联方之间的交易行为，确保交易公平、公正，防止利益冲突，维护</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机构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和</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捐赠者</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的合法权益。</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二、关联方定义</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指对</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机构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拥有直接或间接控制权的实体，以及</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机构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的主要</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理事</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、管理人员及其直系亲属控制的实体。</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三、交易申报</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交易申报：所有涉及关联方的交易，不论金额大小，均需提前向</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理事长、理事会</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报告。</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披露要求：关联方交易应在</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机构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年度报告中详细披露。</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四、交易决策</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决策权限：一般关联交易由管理层审批，重大关联交易需提交</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理事</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会审议，涉及</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理事会</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权益的重大交易需经过</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理事会会议</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投票决定。</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回避制度：关联方及其利益相关人员在交易决策中需回避。</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五、交易定价</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公允定价：所有关联交易应基于公平、公正的市场价格或成本进行，不得损害</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机构和捐赠人</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利益。</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独立第三方评估：对于可能产生重大影响的关联交易，</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必要时可</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由独立第三方进行价格评估。</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六、内部审计</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审计监督：</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机构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内部</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可邀请第三方</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对</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相关</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交易进行审查。</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违规处理：对违反本制度的行为，将进行调查并采取相应纠正措施。</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七、外部监管</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合规性：确保</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若有关联交易的情况下，所有</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关联交易符合相关法律法规和行业监管要求。</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报告义务：如遇监管部门调查，</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机构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应积极配合并提供相关资料。</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八、修订与解释</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本制度由</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机构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制定，可根据</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机构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实际情况和法律法规变化进行修订。本制度自发布之日起生效。</w:t>
      </w:r>
    </w:p>
    <w:p w14:paraId="2274BC2B">
      <w:pPr>
        <w:keepNext w:val="0"/>
        <w:keepLines w:val="0"/>
        <w:pageBreakBefore w:val="0"/>
        <w:widowControl w:val="0"/>
        <w:kinsoku/>
        <w:wordWrap/>
        <w:overflowPunct/>
        <w:topLinePunct w:val="0"/>
        <w:autoSpaceDE/>
        <w:autoSpaceDN/>
        <w:bidi w:val="0"/>
        <w:adjustRightInd/>
        <w:snapToGrid/>
        <w:spacing w:line="320" w:lineRule="exact"/>
        <w:ind w:left="257" w:hanging="256" w:hangingChars="100"/>
        <w:textAlignment w:val="auto"/>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第五部分 剩余财产处置</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管理制度</w:t>
      </w:r>
    </w:p>
    <w:p w14:paraId="432F74F2">
      <w:pPr>
        <w:keepNext w:val="0"/>
        <w:keepLines w:val="0"/>
        <w:pageBreakBefore w:val="0"/>
        <w:widowControl w:val="0"/>
        <w:kinsoku/>
        <w:wordWrap/>
        <w:overflowPunct/>
        <w:topLinePunct w:val="0"/>
        <w:autoSpaceDE/>
        <w:autoSpaceDN/>
        <w:bidi w:val="0"/>
        <w:adjustRightInd/>
        <w:snapToGrid/>
        <w:spacing w:line="320" w:lineRule="exact"/>
        <w:ind w:left="239" w:leftChars="114" w:firstLine="256" w:firstLineChars="100"/>
        <w:textAlignment w:val="auto"/>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一、总则</w:t>
      </w:r>
    </w:p>
    <w:p w14:paraId="7E185D02">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本制度旨在规范</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机构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剩余资产</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或捐赠剩余资产</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的处置流程，确保资产处置的合法性、合理性，避免资产浪费，最大限度地实现资产价值。</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二、剩余资产定义</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剩余资产：指</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机构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运营过程中</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或捐赠资产中</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不再使用的、无法再用于业务活动的固定资产、流动资产或无形资产。</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三、资产识别</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资产</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清查</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：定期进行资产盘点，确定剩余资产清单。</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评估价值：由专业评估机构对剩余资产进行价值评估。</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四、处置流程</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审批程序：剩余资产处置需经过</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机构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管理层审批，重大项目还需提交</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理事</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会审议。</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公开竞价：对于部分可公开市场交易资产，可通过公开竞标方式进行出售。</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五、处置方式</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出售：优先考虑出售给第三方，如内部转移、公开市场交易或拍卖。</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报废/捐赠：对于无转让价值的资产，按照相关规定进行报废处理或捐赠给</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其他</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慈善机构</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（若其他慈善或公益机构愿接收情况）</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六、信息公开</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公告通知：处置信息应在</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机构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内部和相关平台上公开，确保透明度。</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记录保存：完整记录处置过程，包括交易对手、价格、时间等信息。</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七、税务处理</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1</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税务咨询：在处置过程中，咨询税务专家确保税收合规。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2</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税务申报：准确进行税务申报，避免税务风险。</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八、违规处理</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对于违反本制度的行为，将根据</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机构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规定进行追责，并报告给上级管理部门。</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九、修订与解释</w:t>
      </w:r>
      <w:r>
        <w:rPr>
          <w:rFonts w:hint="default"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br w:type="textWrapping"/>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本制度由</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机构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负责制定和解释，根据</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机构</w:t>
      </w:r>
      <w:r>
        <w:rPr>
          <w:rFonts w:hint="default" w:ascii="方正仿宋_GBK" w:hAnsi="方正仿宋_GBK" w:eastAsia="方正仿宋_GBK" w:cs="方正仿宋_GBK"/>
          <w:i w:val="0"/>
          <w:iCs w:val="0"/>
          <w:caps w:val="0"/>
          <w:color w:val="auto"/>
          <w:spacing w:val="8"/>
          <w:kern w:val="0"/>
          <w:sz w:val="24"/>
          <w:szCs w:val="24"/>
          <w:shd w:val="clear" w:color="auto" w:fill="FFFFFF"/>
          <w:lang w:val="en-US" w:eastAsia="zh-CN" w:bidi="ar-SA"/>
        </w:rPr>
        <w:t>业务发展和相关法律法规进行适时修订。自发布之日起生效。</w:t>
      </w:r>
    </w:p>
    <w:p w14:paraId="7019E1FF">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651C9"/>
    <w:rsid w:val="53865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2026-01-08T03:45:00Z</dcterms:created>
  <dc:creator>花丸轮子</dc:creator>
  <cp:lastModifiedBy>花丸轮子</cp:lastModifiedBy>
  <dcterms:modified xsi:type="dcterms:W3CDTF">2026-01-08T03:45:50Z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823E66CB92894F2F8F870EEB7BD578D0_11</vt:lpwstr>
  </property>
  <property fmtid="{D5CDD505-2E9C-101B-9397-08002B2CF9AE}" pid="4" name="KSOTemplateDocerSaveRecord">
    <vt:lpwstr>eyJoZGlkIjoiMzZiMjMzYTAwY2MxOWRiNDM5MGZjOWMwMDFiZjJkMzQiLCJ1c2VySWQiOiIxMjc4MDIwMjAzIn0=</vt:lpwstr>
  </property>
</Properties>
</file>