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A2A4F9">
      <w:pPr>
        <w:jc w:val="center"/>
        <w:outlineLvl w:val="0"/>
        <w:rPr>
          <w:rFonts w:hint="eastAsia" w:ascii="宋体" w:hAnsi="宋体" w:eastAsia="宋体" w:cs="宋体"/>
          <w:b/>
          <w:bCs/>
          <w:color w:val="auto"/>
          <w:kern w:val="0"/>
          <w:sz w:val="32"/>
          <w:szCs w:val="32"/>
        </w:rPr>
      </w:pPr>
      <w:r>
        <w:rPr>
          <w:rFonts w:hint="eastAsia" w:ascii="宋体" w:hAnsi="宋体" w:eastAsia="宋体" w:cs="宋体"/>
          <w:b/>
          <w:bCs/>
          <w:color w:val="auto"/>
          <w:sz w:val="50"/>
          <w:szCs w:val="50"/>
        </w:rPr>
        <w:t>风险防控预案管理制度</w:t>
      </w:r>
    </w:p>
    <w:p w14:paraId="1EAD3DB7">
      <w:pPr>
        <w:keepNext w:val="0"/>
        <w:keepLines w:val="0"/>
        <w:pageBreakBefore w:val="0"/>
        <w:widowControl w:val="0"/>
        <w:kinsoku/>
        <w:wordWrap/>
        <w:overflowPunct/>
        <w:topLinePunct w:val="0"/>
        <w:autoSpaceDE/>
        <w:autoSpaceDN/>
        <w:bidi w:val="0"/>
        <w:adjustRightInd/>
        <w:snapToGrid/>
        <w:spacing w:line="320" w:lineRule="exact"/>
        <w:jc w:val="left"/>
        <w:textAlignment w:val="auto"/>
        <w:outlineLvl w:val="1"/>
        <w:rPr>
          <w:rFonts w:hint="eastAsia" w:ascii="方正仿宋_GBK" w:hAnsi="方正仿宋_GBK" w:eastAsia="方正仿宋_GBK" w:cs="方正仿宋_GBK"/>
          <w:b/>
          <w:bCs/>
          <w:color w:val="auto"/>
          <w:kern w:val="0"/>
          <w:sz w:val="24"/>
          <w:szCs w:val="24"/>
        </w:rPr>
      </w:pPr>
      <w:bookmarkStart w:id="0" w:name="_Toc19293"/>
      <w:bookmarkStart w:id="1" w:name="_Toc27764"/>
      <w:bookmarkStart w:id="2" w:name="_Toc13366"/>
      <w:r>
        <w:rPr>
          <w:rFonts w:hint="eastAsia" w:ascii="方正仿宋_GBK" w:hAnsi="方正仿宋_GBK" w:eastAsia="方正仿宋_GBK" w:cs="方正仿宋_GBK"/>
          <w:b/>
          <w:bCs/>
          <w:color w:val="auto"/>
          <w:kern w:val="0"/>
          <w:sz w:val="24"/>
          <w:szCs w:val="24"/>
        </w:rPr>
        <w:t>一</w:t>
      </w:r>
      <w:r>
        <w:rPr>
          <w:rFonts w:hint="eastAsia" w:ascii="方正仿宋_GBK" w:hAnsi="方正仿宋_GBK" w:eastAsia="方正仿宋_GBK" w:cs="方正仿宋_GBK"/>
          <w:b/>
          <w:bCs/>
          <w:color w:val="auto"/>
          <w:kern w:val="0"/>
          <w:sz w:val="24"/>
          <w:szCs w:val="24"/>
          <w:lang w:eastAsia="zh-CN"/>
        </w:rPr>
        <w:t>、</w:t>
      </w:r>
      <w:r>
        <w:rPr>
          <w:rFonts w:hint="eastAsia" w:ascii="方正仿宋_GBK" w:hAnsi="方正仿宋_GBK" w:eastAsia="方正仿宋_GBK" w:cs="方正仿宋_GBK"/>
          <w:b/>
          <w:bCs/>
          <w:color w:val="auto"/>
          <w:kern w:val="0"/>
          <w:sz w:val="24"/>
          <w:szCs w:val="24"/>
        </w:rPr>
        <w:t>总则</w:t>
      </w:r>
      <w:bookmarkEnd w:id="0"/>
      <w:bookmarkEnd w:id="1"/>
      <w:bookmarkEnd w:id="2"/>
    </w:p>
    <w:p w14:paraId="03B9B79A">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lang w:eastAsia="zh-CN"/>
        </w:rPr>
        <w:t>（</w:t>
      </w:r>
      <w:r>
        <w:rPr>
          <w:rFonts w:hint="eastAsia" w:ascii="方正仿宋_GBK" w:hAnsi="方正仿宋_GBK" w:eastAsia="方正仿宋_GBK" w:cs="方正仿宋_GBK"/>
          <w:color w:val="auto"/>
          <w:kern w:val="0"/>
          <w:sz w:val="24"/>
          <w:szCs w:val="24"/>
          <w:lang w:val="en-US" w:eastAsia="zh-CN"/>
        </w:rPr>
        <w:t>一</w:t>
      </w:r>
      <w:r>
        <w:rPr>
          <w:rFonts w:hint="eastAsia" w:ascii="方正仿宋_GBK" w:hAnsi="方正仿宋_GBK" w:eastAsia="方正仿宋_GBK" w:cs="方正仿宋_GBK"/>
          <w:color w:val="auto"/>
          <w:kern w:val="0"/>
          <w:sz w:val="24"/>
          <w:szCs w:val="24"/>
          <w:lang w:eastAsia="zh-CN"/>
        </w:rPr>
        <w:t>）</w:t>
      </w:r>
      <w:r>
        <w:rPr>
          <w:rFonts w:hint="eastAsia" w:ascii="方正仿宋_GBK" w:hAnsi="方正仿宋_GBK" w:eastAsia="方正仿宋_GBK" w:cs="方正仿宋_GBK"/>
          <w:color w:val="auto"/>
          <w:kern w:val="0"/>
          <w:sz w:val="24"/>
          <w:szCs w:val="24"/>
        </w:rPr>
        <w:t>为规范机构的风险管控工作，建立规范、有效的风险管控体系和风险预警机制，制定务实、有效的风险管控措施，提高风险防范和控制能力，增强机构应对风险的能力，提高运营管理水平，结合机构实际情况，制定本制度。</w:t>
      </w:r>
    </w:p>
    <w:p w14:paraId="0BD81FE6">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lang w:eastAsia="zh-CN"/>
        </w:rPr>
        <w:t>（</w:t>
      </w:r>
      <w:r>
        <w:rPr>
          <w:rFonts w:hint="eastAsia" w:ascii="方正仿宋_GBK" w:hAnsi="方正仿宋_GBK" w:eastAsia="方正仿宋_GBK" w:cs="方正仿宋_GBK"/>
          <w:color w:val="auto"/>
          <w:kern w:val="0"/>
          <w:sz w:val="24"/>
          <w:szCs w:val="24"/>
          <w:lang w:val="en-US" w:eastAsia="zh-CN"/>
        </w:rPr>
        <w:t>二</w:t>
      </w:r>
      <w:r>
        <w:rPr>
          <w:rFonts w:hint="eastAsia" w:ascii="方正仿宋_GBK" w:hAnsi="方正仿宋_GBK" w:eastAsia="方正仿宋_GBK" w:cs="方正仿宋_GBK"/>
          <w:color w:val="auto"/>
          <w:kern w:val="0"/>
          <w:sz w:val="24"/>
          <w:szCs w:val="24"/>
          <w:lang w:eastAsia="zh-CN"/>
        </w:rPr>
        <w:t>）</w:t>
      </w:r>
      <w:r>
        <w:rPr>
          <w:rFonts w:hint="eastAsia" w:ascii="方正仿宋_GBK" w:hAnsi="方正仿宋_GBK" w:eastAsia="方正仿宋_GBK" w:cs="方正仿宋_GBK"/>
          <w:color w:val="auto"/>
          <w:kern w:val="0"/>
          <w:sz w:val="24"/>
          <w:szCs w:val="24"/>
        </w:rPr>
        <w:t>本办法所称的风险，指未来的不确定性对机构</w:t>
      </w:r>
      <w:r>
        <w:rPr>
          <w:rFonts w:hint="eastAsia" w:ascii="方正仿宋_GBK" w:hAnsi="方正仿宋_GBK" w:eastAsia="方正仿宋_GBK" w:cs="方正仿宋_GBK"/>
          <w:color w:val="auto"/>
          <w:kern w:val="0"/>
          <w:sz w:val="24"/>
          <w:szCs w:val="24"/>
          <w:lang w:val="en-US" w:eastAsia="zh-CN"/>
        </w:rPr>
        <w:t>运营、</w:t>
      </w:r>
      <w:r>
        <w:rPr>
          <w:rFonts w:hint="eastAsia" w:ascii="方正仿宋_GBK" w:hAnsi="方正仿宋_GBK" w:eastAsia="方正仿宋_GBK" w:cs="方正仿宋_GBK"/>
          <w:color w:val="auto"/>
          <w:kern w:val="0"/>
          <w:sz w:val="24"/>
          <w:szCs w:val="24"/>
        </w:rPr>
        <w:t>实现其战略目标</w:t>
      </w:r>
      <w:r>
        <w:rPr>
          <w:rFonts w:hint="eastAsia" w:ascii="方正仿宋_GBK" w:hAnsi="方正仿宋_GBK" w:eastAsia="方正仿宋_GBK" w:cs="方正仿宋_GBK"/>
          <w:color w:val="auto"/>
          <w:kern w:val="0"/>
          <w:sz w:val="24"/>
          <w:szCs w:val="24"/>
          <w:lang w:val="en-US" w:eastAsia="zh-CN"/>
        </w:rPr>
        <w:t>等</w:t>
      </w:r>
      <w:r>
        <w:rPr>
          <w:rFonts w:hint="eastAsia" w:ascii="方正仿宋_GBK" w:hAnsi="方正仿宋_GBK" w:eastAsia="方正仿宋_GBK" w:cs="方正仿宋_GBK"/>
          <w:color w:val="auto"/>
          <w:kern w:val="0"/>
          <w:sz w:val="24"/>
          <w:szCs w:val="24"/>
        </w:rPr>
        <w:t>的影响，一般分为战略风险、财务风险、市场风险、运营风险、法律风险等。</w:t>
      </w:r>
    </w:p>
    <w:p w14:paraId="1B91CDDF">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lang w:eastAsia="zh-CN"/>
        </w:rPr>
        <w:t>（</w:t>
      </w:r>
      <w:r>
        <w:rPr>
          <w:rFonts w:hint="eastAsia" w:ascii="方正仿宋_GBK" w:hAnsi="方正仿宋_GBK" w:eastAsia="方正仿宋_GBK" w:cs="方正仿宋_GBK"/>
          <w:color w:val="auto"/>
          <w:kern w:val="0"/>
          <w:sz w:val="24"/>
          <w:szCs w:val="24"/>
          <w:lang w:val="en-US" w:eastAsia="zh-CN"/>
        </w:rPr>
        <w:t>三</w:t>
      </w:r>
      <w:r>
        <w:rPr>
          <w:rFonts w:hint="eastAsia" w:ascii="方正仿宋_GBK" w:hAnsi="方正仿宋_GBK" w:eastAsia="方正仿宋_GBK" w:cs="方正仿宋_GBK"/>
          <w:color w:val="auto"/>
          <w:kern w:val="0"/>
          <w:sz w:val="24"/>
          <w:szCs w:val="24"/>
          <w:lang w:eastAsia="zh-CN"/>
        </w:rPr>
        <w:t>）</w:t>
      </w:r>
      <w:r>
        <w:rPr>
          <w:rFonts w:hint="eastAsia" w:ascii="方正仿宋_GBK" w:hAnsi="方正仿宋_GBK" w:eastAsia="方正仿宋_GBK" w:cs="方正仿宋_GBK"/>
          <w:color w:val="auto"/>
          <w:kern w:val="0"/>
          <w:sz w:val="24"/>
          <w:szCs w:val="24"/>
        </w:rPr>
        <w:t>根据风险程度从高到低依次分为红色预警、橙色预警、黄色预警、蓝色预警和绿色安全等五个等级。</w:t>
      </w:r>
    </w:p>
    <w:p w14:paraId="77380F91">
      <w:pPr>
        <w:keepNext w:val="0"/>
        <w:keepLines w:val="0"/>
        <w:pageBreakBefore w:val="0"/>
        <w:widowControl w:val="0"/>
        <w:kinsoku/>
        <w:wordWrap/>
        <w:overflowPunct/>
        <w:topLinePunct w:val="0"/>
        <w:autoSpaceDE/>
        <w:autoSpaceDN/>
        <w:bidi w:val="0"/>
        <w:adjustRightInd/>
        <w:snapToGrid/>
        <w:spacing w:line="320" w:lineRule="exact"/>
        <w:jc w:val="left"/>
        <w:textAlignment w:val="auto"/>
        <w:outlineLvl w:val="1"/>
        <w:rPr>
          <w:rFonts w:hint="eastAsia" w:ascii="方正仿宋_GBK" w:hAnsi="方正仿宋_GBK" w:eastAsia="方正仿宋_GBK" w:cs="方正仿宋_GBK"/>
          <w:b/>
          <w:bCs/>
          <w:color w:val="auto"/>
          <w:kern w:val="0"/>
          <w:sz w:val="24"/>
          <w:szCs w:val="24"/>
        </w:rPr>
      </w:pPr>
      <w:bookmarkStart w:id="3" w:name="_Toc13040"/>
      <w:bookmarkStart w:id="4" w:name="_Toc29016"/>
      <w:bookmarkStart w:id="5" w:name="_Toc7758"/>
      <w:r>
        <w:rPr>
          <w:rFonts w:hint="eastAsia" w:ascii="方正仿宋_GBK" w:hAnsi="方正仿宋_GBK" w:eastAsia="方正仿宋_GBK" w:cs="方正仿宋_GBK"/>
          <w:b/>
          <w:bCs/>
          <w:color w:val="auto"/>
          <w:kern w:val="0"/>
          <w:sz w:val="24"/>
          <w:szCs w:val="24"/>
        </w:rPr>
        <w:t>二</w:t>
      </w:r>
      <w:r>
        <w:rPr>
          <w:rFonts w:hint="eastAsia" w:ascii="方正仿宋_GBK" w:hAnsi="方正仿宋_GBK" w:eastAsia="方正仿宋_GBK" w:cs="方正仿宋_GBK"/>
          <w:b/>
          <w:bCs/>
          <w:color w:val="auto"/>
          <w:kern w:val="0"/>
          <w:sz w:val="24"/>
          <w:szCs w:val="24"/>
          <w:lang w:eastAsia="zh-CN"/>
        </w:rPr>
        <w:t>、</w:t>
      </w:r>
      <w:r>
        <w:rPr>
          <w:rFonts w:hint="eastAsia" w:ascii="方正仿宋_GBK" w:hAnsi="方正仿宋_GBK" w:eastAsia="方正仿宋_GBK" w:cs="方正仿宋_GBK"/>
          <w:b/>
          <w:bCs/>
          <w:color w:val="auto"/>
          <w:kern w:val="0"/>
          <w:sz w:val="24"/>
          <w:szCs w:val="24"/>
        </w:rPr>
        <w:t>风险管理职责分工</w:t>
      </w:r>
      <w:bookmarkEnd w:id="3"/>
      <w:bookmarkEnd w:id="4"/>
      <w:bookmarkEnd w:id="5"/>
    </w:p>
    <w:p w14:paraId="2BCF2805">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lang w:eastAsia="zh-CN"/>
        </w:rPr>
        <w:t>（</w:t>
      </w:r>
      <w:r>
        <w:rPr>
          <w:rFonts w:hint="eastAsia" w:ascii="方正仿宋_GBK" w:hAnsi="方正仿宋_GBK" w:eastAsia="方正仿宋_GBK" w:cs="方正仿宋_GBK"/>
          <w:color w:val="auto"/>
          <w:kern w:val="0"/>
          <w:sz w:val="24"/>
          <w:szCs w:val="24"/>
          <w:lang w:val="en-US" w:eastAsia="zh-CN"/>
        </w:rPr>
        <w:t>一</w:t>
      </w:r>
      <w:r>
        <w:rPr>
          <w:rFonts w:hint="eastAsia" w:ascii="方正仿宋_GBK" w:hAnsi="方正仿宋_GBK" w:eastAsia="方正仿宋_GBK" w:cs="方正仿宋_GBK"/>
          <w:color w:val="auto"/>
          <w:kern w:val="0"/>
          <w:sz w:val="24"/>
          <w:szCs w:val="24"/>
          <w:lang w:eastAsia="zh-CN"/>
        </w:rPr>
        <w:t>）</w:t>
      </w:r>
      <w:r>
        <w:rPr>
          <w:rFonts w:hint="eastAsia" w:ascii="方正仿宋_GBK" w:hAnsi="方正仿宋_GBK" w:eastAsia="方正仿宋_GBK" w:cs="方正仿宋_GBK"/>
          <w:color w:val="auto"/>
          <w:kern w:val="0"/>
          <w:sz w:val="24"/>
          <w:szCs w:val="24"/>
        </w:rPr>
        <w:t>机构理事会作为单位风险管控的最高机构，主要履行以下风险管理职责：</w:t>
      </w:r>
    </w:p>
    <w:p w14:paraId="28AE53AB">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left"/>
        <w:textAlignment w:val="auto"/>
        <w:rPr>
          <w:rFonts w:hint="eastAsia" w:ascii="方正仿宋_GBK" w:hAnsi="方正仿宋_GBK" w:eastAsia="方正仿宋_GBK" w:cs="方正仿宋_GBK"/>
          <w:color w:val="auto"/>
          <w:kern w:val="0"/>
          <w:sz w:val="24"/>
          <w:szCs w:val="24"/>
          <w:lang w:eastAsia="zh-CN"/>
        </w:rPr>
      </w:pPr>
      <w:r>
        <w:rPr>
          <w:rFonts w:hint="eastAsia" w:ascii="方正仿宋_GBK" w:hAnsi="方正仿宋_GBK" w:eastAsia="方正仿宋_GBK" w:cs="方正仿宋_GBK"/>
          <w:color w:val="auto"/>
          <w:kern w:val="0"/>
          <w:sz w:val="24"/>
          <w:szCs w:val="24"/>
          <w:lang w:val="en-US" w:eastAsia="zh-CN"/>
        </w:rPr>
        <w:t>1</w:t>
      </w:r>
      <w:r>
        <w:rPr>
          <w:rFonts w:hint="eastAsia" w:ascii="方正仿宋_GBK" w:hAnsi="方正仿宋_GBK" w:eastAsia="方正仿宋_GBK" w:cs="方正仿宋_GBK"/>
          <w:color w:val="auto"/>
          <w:kern w:val="0"/>
          <w:sz w:val="24"/>
          <w:szCs w:val="24"/>
        </w:rPr>
        <w:t>、审议单位年度工作报告及风险管理相关报告</w:t>
      </w:r>
      <w:r>
        <w:rPr>
          <w:rFonts w:hint="eastAsia" w:ascii="方正仿宋_GBK" w:hAnsi="方正仿宋_GBK" w:eastAsia="方正仿宋_GBK" w:cs="方正仿宋_GBK"/>
          <w:color w:val="auto"/>
          <w:kern w:val="0"/>
          <w:sz w:val="24"/>
          <w:szCs w:val="24"/>
          <w:lang w:eastAsia="zh-CN"/>
        </w:rPr>
        <w:t>。</w:t>
      </w:r>
    </w:p>
    <w:p w14:paraId="5333A59E">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left"/>
        <w:textAlignment w:val="auto"/>
        <w:rPr>
          <w:rFonts w:hint="eastAsia" w:ascii="方正仿宋_GBK" w:hAnsi="方正仿宋_GBK" w:eastAsia="方正仿宋_GBK" w:cs="方正仿宋_GBK"/>
          <w:color w:val="auto"/>
          <w:kern w:val="0"/>
          <w:sz w:val="24"/>
          <w:szCs w:val="24"/>
          <w:lang w:eastAsia="zh-CN"/>
        </w:rPr>
      </w:pPr>
      <w:r>
        <w:rPr>
          <w:rFonts w:hint="eastAsia" w:ascii="方正仿宋_GBK" w:hAnsi="方正仿宋_GBK" w:eastAsia="方正仿宋_GBK" w:cs="方正仿宋_GBK"/>
          <w:color w:val="auto"/>
          <w:kern w:val="0"/>
          <w:sz w:val="24"/>
          <w:szCs w:val="24"/>
          <w:lang w:val="en-US" w:eastAsia="zh-CN"/>
        </w:rPr>
        <w:t>2</w:t>
      </w:r>
      <w:r>
        <w:rPr>
          <w:rFonts w:hint="eastAsia" w:ascii="方正仿宋_GBK" w:hAnsi="方正仿宋_GBK" w:eastAsia="方正仿宋_GBK" w:cs="方正仿宋_GBK"/>
          <w:color w:val="auto"/>
          <w:kern w:val="0"/>
          <w:sz w:val="24"/>
          <w:szCs w:val="24"/>
        </w:rPr>
        <w:t>、确定单位风险管理总体目标、风险偏好、风险承受度，批准橙色预警及以上级别的风险管理解决方案</w:t>
      </w:r>
      <w:r>
        <w:rPr>
          <w:rFonts w:hint="eastAsia" w:ascii="方正仿宋_GBK" w:hAnsi="方正仿宋_GBK" w:eastAsia="方正仿宋_GBK" w:cs="方正仿宋_GBK"/>
          <w:color w:val="auto"/>
          <w:kern w:val="0"/>
          <w:sz w:val="24"/>
          <w:szCs w:val="24"/>
          <w:lang w:eastAsia="zh-CN"/>
        </w:rPr>
        <w:t>。</w:t>
      </w:r>
    </w:p>
    <w:p w14:paraId="32A93B93">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left"/>
        <w:textAlignment w:val="auto"/>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lang w:val="en-US" w:eastAsia="zh-CN"/>
        </w:rPr>
        <w:t>3</w:t>
      </w:r>
      <w:r>
        <w:rPr>
          <w:rFonts w:hint="eastAsia" w:ascii="方正仿宋_GBK" w:hAnsi="方正仿宋_GBK" w:eastAsia="方正仿宋_GBK" w:cs="方正仿宋_GBK"/>
          <w:color w:val="auto"/>
          <w:kern w:val="0"/>
          <w:sz w:val="24"/>
          <w:szCs w:val="24"/>
        </w:rPr>
        <w:t>、风险管理的其他重大事项。</w:t>
      </w:r>
    </w:p>
    <w:p w14:paraId="1C5EC491">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left"/>
        <w:textAlignment w:val="auto"/>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lang w:val="en-US" w:eastAsia="zh-CN"/>
        </w:rPr>
        <w:t>3-1、</w:t>
      </w:r>
      <w:r>
        <w:rPr>
          <w:rFonts w:hint="eastAsia" w:ascii="方正仿宋_GBK" w:hAnsi="方正仿宋_GBK" w:eastAsia="方正仿宋_GBK" w:cs="方正仿宋_GBK"/>
          <w:color w:val="auto"/>
          <w:kern w:val="0"/>
          <w:sz w:val="24"/>
          <w:szCs w:val="24"/>
        </w:rPr>
        <w:t>理事会可以通过授权书的形式授权机构执行理事或主任代行理事会的全部或部分风险管理职责。</w:t>
      </w:r>
    </w:p>
    <w:p w14:paraId="1F05EAE5">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left"/>
        <w:textAlignment w:val="auto"/>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lang w:val="en-US" w:eastAsia="zh-CN"/>
        </w:rPr>
        <w:t>3-2</w:t>
      </w:r>
      <w:r>
        <w:rPr>
          <w:rFonts w:hint="eastAsia" w:ascii="方正仿宋_GBK" w:hAnsi="方正仿宋_GBK" w:eastAsia="方正仿宋_GBK" w:cs="方正仿宋_GBK"/>
          <w:color w:val="auto"/>
          <w:kern w:val="0"/>
          <w:sz w:val="24"/>
          <w:szCs w:val="24"/>
        </w:rPr>
        <w:t>、理事会或理事会授权人员领导机构各职能部门在各自部门职责范围内开展风险管理工作。</w:t>
      </w:r>
    </w:p>
    <w:p w14:paraId="34006639">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left"/>
        <w:textAlignment w:val="auto"/>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lang w:val="en-US" w:eastAsia="zh-CN"/>
        </w:rPr>
        <w:t>3-3</w:t>
      </w:r>
      <w:r>
        <w:rPr>
          <w:rFonts w:hint="eastAsia" w:ascii="方正仿宋_GBK" w:hAnsi="方正仿宋_GBK" w:eastAsia="方正仿宋_GBK" w:cs="方正仿宋_GBK"/>
          <w:color w:val="auto"/>
          <w:kern w:val="0"/>
          <w:sz w:val="24"/>
          <w:szCs w:val="24"/>
        </w:rPr>
        <w:t>、理事会或理事会授权人员协调各职能部门在风险管控工作过程中的有关争议。</w:t>
      </w:r>
    </w:p>
    <w:p w14:paraId="28936EDA">
      <w:pPr>
        <w:keepNext w:val="0"/>
        <w:keepLines w:val="0"/>
        <w:pageBreakBefore w:val="0"/>
        <w:widowControl w:val="0"/>
        <w:kinsoku/>
        <w:wordWrap/>
        <w:overflowPunct/>
        <w:topLinePunct w:val="0"/>
        <w:autoSpaceDE/>
        <w:autoSpaceDN/>
        <w:bidi w:val="0"/>
        <w:adjustRightInd/>
        <w:snapToGrid/>
        <w:spacing w:line="320" w:lineRule="exact"/>
        <w:jc w:val="left"/>
        <w:textAlignment w:val="auto"/>
        <w:outlineLvl w:val="1"/>
        <w:rPr>
          <w:rFonts w:hint="eastAsia" w:ascii="方正仿宋_GBK" w:hAnsi="方正仿宋_GBK" w:eastAsia="方正仿宋_GBK" w:cs="方正仿宋_GBK"/>
          <w:b/>
          <w:bCs/>
          <w:color w:val="auto"/>
          <w:kern w:val="0"/>
          <w:sz w:val="24"/>
          <w:szCs w:val="24"/>
        </w:rPr>
      </w:pPr>
      <w:bookmarkStart w:id="6" w:name="_Toc29711"/>
      <w:bookmarkStart w:id="7" w:name="_Toc8848"/>
      <w:bookmarkStart w:id="8" w:name="_Toc15260"/>
      <w:r>
        <w:rPr>
          <w:rFonts w:hint="eastAsia" w:ascii="方正仿宋_GBK" w:hAnsi="方正仿宋_GBK" w:eastAsia="方正仿宋_GBK" w:cs="方正仿宋_GBK"/>
          <w:b/>
          <w:bCs/>
          <w:color w:val="auto"/>
          <w:kern w:val="0"/>
          <w:sz w:val="24"/>
          <w:szCs w:val="24"/>
        </w:rPr>
        <w:t>三</w:t>
      </w:r>
      <w:r>
        <w:rPr>
          <w:rFonts w:hint="eastAsia" w:ascii="方正仿宋_GBK" w:hAnsi="方正仿宋_GBK" w:eastAsia="方正仿宋_GBK" w:cs="方正仿宋_GBK"/>
          <w:b/>
          <w:bCs/>
          <w:color w:val="auto"/>
          <w:kern w:val="0"/>
          <w:sz w:val="24"/>
          <w:szCs w:val="24"/>
          <w:lang w:eastAsia="zh-CN"/>
        </w:rPr>
        <w:t>、</w:t>
      </w:r>
      <w:r>
        <w:rPr>
          <w:rFonts w:hint="eastAsia" w:ascii="方正仿宋_GBK" w:hAnsi="方正仿宋_GBK" w:eastAsia="方正仿宋_GBK" w:cs="方正仿宋_GBK"/>
          <w:b/>
          <w:bCs/>
          <w:color w:val="auto"/>
          <w:kern w:val="0"/>
          <w:sz w:val="24"/>
          <w:szCs w:val="24"/>
        </w:rPr>
        <w:t>风险管理等级划分</w:t>
      </w:r>
      <w:bookmarkEnd w:id="6"/>
      <w:bookmarkEnd w:id="7"/>
      <w:bookmarkEnd w:id="8"/>
    </w:p>
    <w:p w14:paraId="7759BDDB">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b/>
          <w:bCs/>
          <w:color w:val="auto"/>
          <w:kern w:val="0"/>
          <w:sz w:val="24"/>
          <w:szCs w:val="24"/>
          <w:lang w:eastAsia="zh-CN"/>
        </w:rPr>
        <w:t>（</w:t>
      </w:r>
      <w:r>
        <w:rPr>
          <w:rFonts w:hint="eastAsia" w:ascii="方正仿宋_GBK" w:hAnsi="方正仿宋_GBK" w:eastAsia="方正仿宋_GBK" w:cs="方正仿宋_GBK"/>
          <w:b/>
          <w:bCs/>
          <w:color w:val="auto"/>
          <w:kern w:val="0"/>
          <w:sz w:val="24"/>
          <w:szCs w:val="24"/>
          <w:lang w:val="en-US" w:eastAsia="zh-CN"/>
        </w:rPr>
        <w:t>一</w:t>
      </w:r>
      <w:r>
        <w:rPr>
          <w:rFonts w:hint="eastAsia" w:ascii="方正仿宋_GBK" w:hAnsi="方正仿宋_GBK" w:eastAsia="方正仿宋_GBK" w:cs="方正仿宋_GBK"/>
          <w:b/>
          <w:bCs/>
          <w:color w:val="auto"/>
          <w:kern w:val="0"/>
          <w:sz w:val="24"/>
          <w:szCs w:val="24"/>
          <w:lang w:eastAsia="zh-CN"/>
        </w:rPr>
        <w:t>）</w:t>
      </w:r>
      <w:r>
        <w:rPr>
          <w:rFonts w:hint="eastAsia" w:ascii="方正仿宋_GBK" w:hAnsi="方正仿宋_GBK" w:eastAsia="方正仿宋_GBK" w:cs="方正仿宋_GBK"/>
          <w:b/>
          <w:bCs/>
          <w:color w:val="auto"/>
          <w:kern w:val="0"/>
          <w:sz w:val="24"/>
          <w:szCs w:val="24"/>
        </w:rPr>
        <w:t>下列内容是战略风险的判断依据：</w:t>
      </w:r>
    </w:p>
    <w:p w14:paraId="66BB5CA3">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left"/>
        <w:textAlignment w:val="auto"/>
        <w:rPr>
          <w:rFonts w:hint="eastAsia" w:ascii="方正仿宋_GBK" w:hAnsi="方正仿宋_GBK" w:eastAsia="方正仿宋_GBK" w:cs="方正仿宋_GBK"/>
          <w:color w:val="auto"/>
          <w:kern w:val="0"/>
          <w:sz w:val="24"/>
          <w:szCs w:val="24"/>
          <w:lang w:eastAsia="zh-CN"/>
        </w:rPr>
      </w:pPr>
      <w:r>
        <w:rPr>
          <w:rFonts w:hint="eastAsia" w:ascii="方正仿宋_GBK" w:hAnsi="方正仿宋_GBK" w:eastAsia="方正仿宋_GBK" w:cs="方正仿宋_GBK"/>
          <w:color w:val="auto"/>
          <w:kern w:val="0"/>
          <w:sz w:val="24"/>
          <w:szCs w:val="24"/>
          <w:lang w:val="en-US" w:eastAsia="zh-CN"/>
        </w:rPr>
        <w:t>1</w:t>
      </w:r>
      <w:r>
        <w:rPr>
          <w:rFonts w:hint="eastAsia" w:ascii="方正仿宋_GBK" w:hAnsi="方正仿宋_GBK" w:eastAsia="方正仿宋_GBK" w:cs="方正仿宋_GBK"/>
          <w:color w:val="auto"/>
          <w:kern w:val="0"/>
          <w:sz w:val="24"/>
          <w:szCs w:val="24"/>
        </w:rPr>
        <w:t>、和平安定的政治环境、稳定的经济增长</w:t>
      </w:r>
      <w:r>
        <w:rPr>
          <w:rFonts w:hint="eastAsia" w:ascii="方正仿宋_GBK" w:hAnsi="方正仿宋_GBK" w:eastAsia="方正仿宋_GBK" w:cs="方正仿宋_GBK"/>
          <w:color w:val="auto"/>
          <w:kern w:val="0"/>
          <w:sz w:val="24"/>
          <w:szCs w:val="24"/>
          <w:lang w:eastAsia="zh-CN"/>
        </w:rPr>
        <w:t>。</w:t>
      </w:r>
    </w:p>
    <w:p w14:paraId="45E77A00">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left"/>
        <w:textAlignment w:val="auto"/>
        <w:rPr>
          <w:rFonts w:hint="eastAsia" w:ascii="方正仿宋_GBK" w:hAnsi="方正仿宋_GBK" w:eastAsia="方正仿宋_GBK" w:cs="方正仿宋_GBK"/>
          <w:color w:val="auto"/>
          <w:kern w:val="0"/>
          <w:sz w:val="24"/>
          <w:szCs w:val="24"/>
          <w:lang w:eastAsia="zh-CN"/>
        </w:rPr>
      </w:pPr>
      <w:r>
        <w:rPr>
          <w:rFonts w:hint="eastAsia" w:ascii="方正仿宋_GBK" w:hAnsi="方正仿宋_GBK" w:eastAsia="方正仿宋_GBK" w:cs="方正仿宋_GBK"/>
          <w:color w:val="auto"/>
          <w:kern w:val="0"/>
          <w:sz w:val="24"/>
          <w:szCs w:val="24"/>
          <w:lang w:val="en-US" w:eastAsia="zh-CN"/>
        </w:rPr>
        <w:t>2</w:t>
      </w:r>
      <w:r>
        <w:rPr>
          <w:rFonts w:hint="eastAsia" w:ascii="方正仿宋_GBK" w:hAnsi="方正仿宋_GBK" w:eastAsia="方正仿宋_GBK" w:cs="方正仿宋_GBK"/>
          <w:color w:val="auto"/>
          <w:kern w:val="0"/>
          <w:sz w:val="24"/>
          <w:szCs w:val="24"/>
        </w:rPr>
        <w:t>、从中央到地方有非常多的切实落地的政策法规支持非营利组织发展</w:t>
      </w:r>
      <w:r>
        <w:rPr>
          <w:rFonts w:hint="eastAsia" w:ascii="方正仿宋_GBK" w:hAnsi="方正仿宋_GBK" w:eastAsia="方正仿宋_GBK" w:cs="方正仿宋_GBK"/>
          <w:color w:val="auto"/>
          <w:kern w:val="0"/>
          <w:sz w:val="24"/>
          <w:szCs w:val="24"/>
          <w:lang w:eastAsia="zh-CN"/>
        </w:rPr>
        <w:t>。</w:t>
      </w:r>
    </w:p>
    <w:p w14:paraId="2ADF0770">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left"/>
        <w:textAlignment w:val="auto"/>
        <w:rPr>
          <w:rFonts w:hint="eastAsia" w:ascii="方正仿宋_GBK" w:hAnsi="方正仿宋_GBK" w:eastAsia="方正仿宋_GBK" w:cs="方正仿宋_GBK"/>
          <w:color w:val="auto"/>
          <w:kern w:val="0"/>
          <w:sz w:val="24"/>
          <w:szCs w:val="24"/>
          <w:lang w:eastAsia="zh-CN"/>
        </w:rPr>
      </w:pPr>
      <w:r>
        <w:rPr>
          <w:rFonts w:hint="eastAsia" w:ascii="方正仿宋_GBK" w:hAnsi="方正仿宋_GBK" w:eastAsia="方正仿宋_GBK" w:cs="方正仿宋_GBK"/>
          <w:color w:val="auto"/>
          <w:kern w:val="0"/>
          <w:sz w:val="24"/>
          <w:szCs w:val="24"/>
          <w:lang w:val="en-US" w:eastAsia="zh-CN"/>
        </w:rPr>
        <w:t>3</w:t>
      </w:r>
      <w:r>
        <w:rPr>
          <w:rFonts w:hint="eastAsia" w:ascii="方正仿宋_GBK" w:hAnsi="方正仿宋_GBK" w:eastAsia="方正仿宋_GBK" w:cs="方正仿宋_GBK"/>
          <w:color w:val="auto"/>
          <w:kern w:val="0"/>
          <w:sz w:val="24"/>
          <w:szCs w:val="24"/>
        </w:rPr>
        <w:t>、行业发展趋势判断准确、竞争对手分析到位、自身优劣势分析客观、人才储备与未来竞争力的分析客观准确</w:t>
      </w:r>
      <w:r>
        <w:rPr>
          <w:rFonts w:hint="eastAsia" w:ascii="方正仿宋_GBK" w:hAnsi="方正仿宋_GBK" w:eastAsia="方正仿宋_GBK" w:cs="方正仿宋_GBK"/>
          <w:color w:val="auto"/>
          <w:kern w:val="0"/>
          <w:sz w:val="24"/>
          <w:szCs w:val="24"/>
          <w:lang w:eastAsia="zh-CN"/>
        </w:rPr>
        <w:t>。</w:t>
      </w:r>
    </w:p>
    <w:p w14:paraId="425A35DF">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left"/>
        <w:textAlignment w:val="auto"/>
        <w:rPr>
          <w:rFonts w:hint="eastAsia" w:ascii="方正仿宋_GBK" w:hAnsi="方正仿宋_GBK" w:eastAsia="方正仿宋_GBK" w:cs="方正仿宋_GBK"/>
          <w:color w:val="auto"/>
          <w:kern w:val="0"/>
          <w:sz w:val="24"/>
          <w:szCs w:val="24"/>
          <w:lang w:eastAsia="zh-CN"/>
        </w:rPr>
      </w:pPr>
      <w:r>
        <w:rPr>
          <w:rFonts w:hint="eastAsia" w:ascii="方正仿宋_GBK" w:hAnsi="方正仿宋_GBK" w:eastAsia="方正仿宋_GBK" w:cs="方正仿宋_GBK"/>
          <w:color w:val="auto"/>
          <w:kern w:val="0"/>
          <w:sz w:val="24"/>
          <w:szCs w:val="24"/>
          <w:lang w:val="en-US" w:eastAsia="zh-CN"/>
        </w:rPr>
        <w:t>4</w:t>
      </w:r>
      <w:r>
        <w:rPr>
          <w:rFonts w:hint="eastAsia" w:ascii="方正仿宋_GBK" w:hAnsi="方正仿宋_GBK" w:eastAsia="方正仿宋_GBK" w:cs="方正仿宋_GBK"/>
          <w:color w:val="auto"/>
          <w:kern w:val="0"/>
          <w:sz w:val="24"/>
          <w:szCs w:val="24"/>
        </w:rPr>
        <w:t>、健全的决策机制、合理的决策程序、战略分析的依据充分、战略规划</w:t>
      </w:r>
      <w:r>
        <w:rPr>
          <w:rFonts w:hint="eastAsia" w:ascii="方正仿宋_GBK" w:hAnsi="方正仿宋_GBK" w:eastAsia="方正仿宋_GBK" w:cs="方正仿宋_GBK"/>
          <w:color w:val="auto"/>
          <w:kern w:val="0"/>
          <w:sz w:val="24"/>
          <w:szCs w:val="24"/>
          <w:lang w:val="en-US" w:eastAsia="zh-CN"/>
        </w:rPr>
        <w:t>或年度计划</w:t>
      </w:r>
      <w:r>
        <w:rPr>
          <w:rFonts w:hint="eastAsia" w:ascii="方正仿宋_GBK" w:hAnsi="方正仿宋_GBK" w:eastAsia="方正仿宋_GBK" w:cs="方正仿宋_GBK"/>
          <w:color w:val="auto"/>
          <w:kern w:val="0"/>
          <w:sz w:val="24"/>
          <w:szCs w:val="24"/>
        </w:rPr>
        <w:t>切实可行</w:t>
      </w:r>
      <w:r>
        <w:rPr>
          <w:rFonts w:hint="eastAsia" w:ascii="方正仿宋_GBK" w:hAnsi="方正仿宋_GBK" w:eastAsia="方正仿宋_GBK" w:cs="方正仿宋_GBK"/>
          <w:color w:val="auto"/>
          <w:kern w:val="0"/>
          <w:sz w:val="24"/>
          <w:szCs w:val="24"/>
          <w:lang w:eastAsia="zh-CN"/>
        </w:rPr>
        <w:t>。</w:t>
      </w:r>
    </w:p>
    <w:p w14:paraId="7D10CCEA">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left"/>
        <w:textAlignment w:val="auto"/>
        <w:rPr>
          <w:rFonts w:hint="eastAsia" w:ascii="方正仿宋_GBK" w:hAnsi="方正仿宋_GBK" w:eastAsia="方正仿宋_GBK" w:cs="方正仿宋_GBK"/>
          <w:color w:val="auto"/>
          <w:kern w:val="0"/>
          <w:sz w:val="24"/>
          <w:szCs w:val="24"/>
          <w:lang w:eastAsia="zh-CN"/>
        </w:rPr>
      </w:pPr>
      <w:r>
        <w:rPr>
          <w:rFonts w:hint="eastAsia" w:ascii="方正仿宋_GBK" w:hAnsi="方正仿宋_GBK" w:eastAsia="方正仿宋_GBK" w:cs="方正仿宋_GBK"/>
          <w:color w:val="auto"/>
          <w:kern w:val="0"/>
          <w:sz w:val="24"/>
          <w:szCs w:val="24"/>
          <w:lang w:val="en-US" w:eastAsia="zh-CN"/>
        </w:rPr>
        <w:t>5</w:t>
      </w:r>
      <w:r>
        <w:rPr>
          <w:rFonts w:hint="eastAsia" w:ascii="方正仿宋_GBK" w:hAnsi="方正仿宋_GBK" w:eastAsia="方正仿宋_GBK" w:cs="方正仿宋_GBK"/>
          <w:color w:val="auto"/>
          <w:kern w:val="0"/>
          <w:sz w:val="24"/>
          <w:szCs w:val="24"/>
        </w:rPr>
        <w:t>、组织结构设置合理、管理层次清晰、部门职权界定合理、能够及时依据业务变化进行调整</w:t>
      </w:r>
      <w:r>
        <w:rPr>
          <w:rFonts w:hint="eastAsia" w:ascii="方正仿宋_GBK" w:hAnsi="方正仿宋_GBK" w:eastAsia="方正仿宋_GBK" w:cs="方正仿宋_GBK"/>
          <w:color w:val="auto"/>
          <w:kern w:val="0"/>
          <w:sz w:val="24"/>
          <w:szCs w:val="24"/>
          <w:lang w:eastAsia="zh-CN"/>
        </w:rPr>
        <w:t>。</w:t>
      </w:r>
    </w:p>
    <w:p w14:paraId="79C17405">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left"/>
        <w:textAlignment w:val="auto"/>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lang w:val="en-US" w:eastAsia="zh-CN"/>
        </w:rPr>
        <w:t>6</w:t>
      </w:r>
      <w:r>
        <w:rPr>
          <w:rFonts w:hint="eastAsia" w:ascii="方正仿宋_GBK" w:hAnsi="方正仿宋_GBK" w:eastAsia="方正仿宋_GBK" w:cs="方正仿宋_GBK"/>
          <w:color w:val="auto"/>
          <w:kern w:val="0"/>
          <w:sz w:val="24"/>
          <w:szCs w:val="24"/>
        </w:rPr>
        <w:t>、组织文化吸引员工、员工间互动交流密切、共同的使命愿景。</w:t>
      </w:r>
    </w:p>
    <w:p w14:paraId="7EED17A1">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left"/>
        <w:textAlignment w:val="auto"/>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lang w:val="en-US" w:eastAsia="zh-CN"/>
        </w:rPr>
        <w:t>7</w:t>
      </w:r>
      <w:r>
        <w:rPr>
          <w:rFonts w:hint="eastAsia" w:ascii="方正仿宋_GBK" w:hAnsi="方正仿宋_GBK" w:eastAsia="方正仿宋_GBK" w:cs="方正仿宋_GBK"/>
          <w:color w:val="auto"/>
          <w:kern w:val="0"/>
          <w:sz w:val="24"/>
          <w:szCs w:val="24"/>
        </w:rPr>
        <w:t>、下列是战略风险等级划分：</w:t>
      </w:r>
    </w:p>
    <w:p w14:paraId="3F5E3089">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left"/>
        <w:textAlignment w:val="auto"/>
        <w:rPr>
          <w:rFonts w:hint="eastAsia" w:ascii="方正仿宋_GBK" w:hAnsi="方正仿宋_GBK" w:eastAsia="方正仿宋_GBK" w:cs="方正仿宋_GBK"/>
          <w:color w:val="auto"/>
          <w:kern w:val="0"/>
          <w:sz w:val="24"/>
          <w:szCs w:val="24"/>
          <w:lang w:eastAsia="zh-CN"/>
        </w:rPr>
      </w:pPr>
      <w:r>
        <w:rPr>
          <w:rFonts w:hint="eastAsia" w:ascii="方正仿宋_GBK" w:hAnsi="方正仿宋_GBK" w:eastAsia="方正仿宋_GBK" w:cs="方正仿宋_GBK"/>
          <w:color w:val="auto"/>
          <w:kern w:val="0"/>
          <w:sz w:val="24"/>
          <w:szCs w:val="24"/>
          <w:lang w:val="en-US" w:eastAsia="zh-CN"/>
        </w:rPr>
        <w:t>7-1</w:t>
      </w:r>
      <w:r>
        <w:rPr>
          <w:rFonts w:hint="eastAsia" w:ascii="方正仿宋_GBK" w:hAnsi="方正仿宋_GBK" w:eastAsia="方正仿宋_GBK" w:cs="方正仿宋_GBK"/>
          <w:color w:val="auto"/>
          <w:kern w:val="0"/>
          <w:sz w:val="24"/>
          <w:szCs w:val="24"/>
        </w:rPr>
        <w:t>、上述6条均满足，风险等级为绿色安全</w:t>
      </w:r>
      <w:r>
        <w:rPr>
          <w:rFonts w:hint="eastAsia" w:ascii="方正仿宋_GBK" w:hAnsi="方正仿宋_GBK" w:eastAsia="方正仿宋_GBK" w:cs="方正仿宋_GBK"/>
          <w:color w:val="auto"/>
          <w:kern w:val="0"/>
          <w:sz w:val="24"/>
          <w:szCs w:val="24"/>
          <w:lang w:eastAsia="zh-CN"/>
        </w:rPr>
        <w:t>。</w:t>
      </w:r>
    </w:p>
    <w:p w14:paraId="0102341B">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left"/>
        <w:textAlignment w:val="auto"/>
        <w:rPr>
          <w:rFonts w:hint="eastAsia" w:ascii="方正仿宋_GBK" w:hAnsi="方正仿宋_GBK" w:eastAsia="方正仿宋_GBK" w:cs="方正仿宋_GBK"/>
          <w:color w:val="auto"/>
          <w:kern w:val="0"/>
          <w:sz w:val="24"/>
          <w:szCs w:val="24"/>
          <w:lang w:eastAsia="zh-CN"/>
        </w:rPr>
      </w:pPr>
      <w:r>
        <w:rPr>
          <w:rFonts w:hint="eastAsia" w:ascii="方正仿宋_GBK" w:hAnsi="方正仿宋_GBK" w:eastAsia="方正仿宋_GBK" w:cs="方正仿宋_GBK"/>
          <w:color w:val="auto"/>
          <w:kern w:val="0"/>
          <w:sz w:val="24"/>
          <w:szCs w:val="24"/>
          <w:lang w:val="en-US" w:eastAsia="zh-CN"/>
        </w:rPr>
        <w:t>7-2</w:t>
      </w:r>
      <w:r>
        <w:rPr>
          <w:rFonts w:hint="eastAsia" w:ascii="方正仿宋_GBK" w:hAnsi="方正仿宋_GBK" w:eastAsia="方正仿宋_GBK" w:cs="方正仿宋_GBK"/>
          <w:color w:val="auto"/>
          <w:kern w:val="0"/>
          <w:sz w:val="24"/>
          <w:szCs w:val="24"/>
        </w:rPr>
        <w:t>、上述只有5条满足，风险等级为蓝色预警</w:t>
      </w:r>
      <w:r>
        <w:rPr>
          <w:rFonts w:hint="eastAsia" w:ascii="方正仿宋_GBK" w:hAnsi="方正仿宋_GBK" w:eastAsia="方正仿宋_GBK" w:cs="方正仿宋_GBK"/>
          <w:color w:val="auto"/>
          <w:kern w:val="0"/>
          <w:sz w:val="24"/>
          <w:szCs w:val="24"/>
          <w:lang w:eastAsia="zh-CN"/>
        </w:rPr>
        <w:t>。</w:t>
      </w:r>
    </w:p>
    <w:p w14:paraId="7AD633C8">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left"/>
        <w:textAlignment w:val="auto"/>
        <w:rPr>
          <w:rFonts w:hint="eastAsia" w:ascii="方正仿宋_GBK" w:hAnsi="方正仿宋_GBK" w:eastAsia="方正仿宋_GBK" w:cs="方正仿宋_GBK"/>
          <w:color w:val="auto"/>
          <w:kern w:val="0"/>
          <w:sz w:val="24"/>
          <w:szCs w:val="24"/>
          <w:lang w:eastAsia="zh-CN"/>
        </w:rPr>
      </w:pPr>
      <w:r>
        <w:rPr>
          <w:rFonts w:hint="eastAsia" w:ascii="方正仿宋_GBK" w:hAnsi="方正仿宋_GBK" w:eastAsia="方正仿宋_GBK" w:cs="方正仿宋_GBK"/>
          <w:color w:val="auto"/>
          <w:kern w:val="0"/>
          <w:sz w:val="24"/>
          <w:szCs w:val="24"/>
          <w:lang w:val="en-US" w:eastAsia="zh-CN"/>
        </w:rPr>
        <w:t>7-3</w:t>
      </w:r>
      <w:r>
        <w:rPr>
          <w:rFonts w:hint="eastAsia" w:ascii="方正仿宋_GBK" w:hAnsi="方正仿宋_GBK" w:eastAsia="方正仿宋_GBK" w:cs="方正仿宋_GBK"/>
          <w:color w:val="auto"/>
          <w:kern w:val="0"/>
          <w:sz w:val="24"/>
          <w:szCs w:val="24"/>
        </w:rPr>
        <w:t>、上述只有4条满足，风险等级为黄色预警</w:t>
      </w:r>
      <w:r>
        <w:rPr>
          <w:rFonts w:hint="eastAsia" w:ascii="方正仿宋_GBK" w:hAnsi="方正仿宋_GBK" w:eastAsia="方正仿宋_GBK" w:cs="方正仿宋_GBK"/>
          <w:color w:val="auto"/>
          <w:kern w:val="0"/>
          <w:sz w:val="24"/>
          <w:szCs w:val="24"/>
          <w:lang w:eastAsia="zh-CN"/>
        </w:rPr>
        <w:t>。</w:t>
      </w:r>
    </w:p>
    <w:p w14:paraId="2FF401A5">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left"/>
        <w:textAlignment w:val="auto"/>
        <w:rPr>
          <w:rFonts w:hint="eastAsia" w:ascii="方正仿宋_GBK" w:hAnsi="方正仿宋_GBK" w:eastAsia="方正仿宋_GBK" w:cs="方正仿宋_GBK"/>
          <w:color w:val="auto"/>
          <w:kern w:val="0"/>
          <w:sz w:val="24"/>
          <w:szCs w:val="24"/>
          <w:lang w:eastAsia="zh-CN"/>
        </w:rPr>
      </w:pPr>
      <w:r>
        <w:rPr>
          <w:rFonts w:hint="eastAsia" w:ascii="方正仿宋_GBK" w:hAnsi="方正仿宋_GBK" w:eastAsia="方正仿宋_GBK" w:cs="方正仿宋_GBK"/>
          <w:color w:val="auto"/>
          <w:kern w:val="0"/>
          <w:sz w:val="24"/>
          <w:szCs w:val="24"/>
          <w:lang w:val="en-US" w:eastAsia="zh-CN"/>
        </w:rPr>
        <w:t>7-4</w:t>
      </w:r>
      <w:r>
        <w:rPr>
          <w:rFonts w:hint="eastAsia" w:ascii="方正仿宋_GBK" w:hAnsi="方正仿宋_GBK" w:eastAsia="方正仿宋_GBK" w:cs="方正仿宋_GBK"/>
          <w:color w:val="auto"/>
          <w:kern w:val="0"/>
          <w:sz w:val="24"/>
          <w:szCs w:val="24"/>
        </w:rPr>
        <w:t>、上述只有3条满足，风险等级为橙色预警</w:t>
      </w:r>
      <w:r>
        <w:rPr>
          <w:rFonts w:hint="eastAsia" w:ascii="方正仿宋_GBK" w:hAnsi="方正仿宋_GBK" w:eastAsia="方正仿宋_GBK" w:cs="方正仿宋_GBK"/>
          <w:color w:val="auto"/>
          <w:kern w:val="0"/>
          <w:sz w:val="24"/>
          <w:szCs w:val="24"/>
          <w:lang w:eastAsia="zh-CN"/>
        </w:rPr>
        <w:t>。</w:t>
      </w:r>
    </w:p>
    <w:p w14:paraId="73190DD1">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left"/>
        <w:textAlignment w:val="auto"/>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lang w:val="en-US" w:eastAsia="zh-CN"/>
        </w:rPr>
        <w:t>7-5</w:t>
      </w:r>
      <w:r>
        <w:rPr>
          <w:rFonts w:hint="eastAsia" w:ascii="方正仿宋_GBK" w:hAnsi="方正仿宋_GBK" w:eastAsia="方正仿宋_GBK" w:cs="方正仿宋_GBK"/>
          <w:color w:val="auto"/>
          <w:kern w:val="0"/>
          <w:sz w:val="24"/>
          <w:szCs w:val="24"/>
        </w:rPr>
        <w:t>、上述只有2条满足，风险等级为红色预警。</w:t>
      </w:r>
    </w:p>
    <w:p w14:paraId="7950A1EE">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方正仿宋_GBK" w:hAnsi="方正仿宋_GBK" w:eastAsia="方正仿宋_GBK" w:cs="方正仿宋_GBK"/>
          <w:b/>
          <w:bCs/>
          <w:color w:val="auto"/>
          <w:kern w:val="0"/>
          <w:sz w:val="24"/>
          <w:szCs w:val="24"/>
        </w:rPr>
      </w:pPr>
      <w:r>
        <w:rPr>
          <w:rFonts w:hint="eastAsia" w:ascii="方正仿宋_GBK" w:hAnsi="方正仿宋_GBK" w:eastAsia="方正仿宋_GBK" w:cs="方正仿宋_GBK"/>
          <w:b/>
          <w:bCs/>
          <w:color w:val="auto"/>
          <w:kern w:val="0"/>
          <w:sz w:val="24"/>
          <w:szCs w:val="24"/>
          <w:lang w:eastAsia="zh-CN"/>
        </w:rPr>
        <w:t>（</w:t>
      </w:r>
      <w:r>
        <w:rPr>
          <w:rFonts w:hint="eastAsia" w:ascii="方正仿宋_GBK" w:hAnsi="方正仿宋_GBK" w:eastAsia="方正仿宋_GBK" w:cs="方正仿宋_GBK"/>
          <w:b/>
          <w:bCs/>
          <w:color w:val="auto"/>
          <w:kern w:val="0"/>
          <w:sz w:val="24"/>
          <w:szCs w:val="24"/>
          <w:lang w:val="en-US" w:eastAsia="zh-CN"/>
        </w:rPr>
        <w:t>二</w:t>
      </w:r>
      <w:r>
        <w:rPr>
          <w:rFonts w:hint="eastAsia" w:ascii="方正仿宋_GBK" w:hAnsi="方正仿宋_GBK" w:eastAsia="方正仿宋_GBK" w:cs="方正仿宋_GBK"/>
          <w:b/>
          <w:bCs/>
          <w:color w:val="auto"/>
          <w:kern w:val="0"/>
          <w:sz w:val="24"/>
          <w:szCs w:val="24"/>
          <w:lang w:eastAsia="zh-CN"/>
        </w:rPr>
        <w:t>）</w:t>
      </w:r>
      <w:r>
        <w:rPr>
          <w:rFonts w:hint="eastAsia" w:ascii="方正仿宋_GBK" w:hAnsi="方正仿宋_GBK" w:eastAsia="方正仿宋_GBK" w:cs="方正仿宋_GBK"/>
          <w:b/>
          <w:bCs/>
          <w:color w:val="auto"/>
          <w:kern w:val="0"/>
          <w:sz w:val="24"/>
          <w:szCs w:val="24"/>
        </w:rPr>
        <w:t>下列是运营风险的判断依据：</w:t>
      </w:r>
    </w:p>
    <w:p w14:paraId="054F7B0D">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left"/>
        <w:textAlignment w:val="auto"/>
        <w:rPr>
          <w:rFonts w:hint="eastAsia" w:ascii="方正仿宋_GBK" w:hAnsi="方正仿宋_GBK" w:eastAsia="方正仿宋_GBK" w:cs="方正仿宋_GBK"/>
          <w:color w:val="auto"/>
          <w:kern w:val="0"/>
          <w:sz w:val="24"/>
          <w:szCs w:val="24"/>
          <w:lang w:eastAsia="zh-CN"/>
        </w:rPr>
      </w:pPr>
      <w:r>
        <w:rPr>
          <w:rFonts w:hint="eastAsia" w:ascii="方正仿宋_GBK" w:hAnsi="方正仿宋_GBK" w:eastAsia="方正仿宋_GBK" w:cs="方正仿宋_GBK"/>
          <w:color w:val="auto"/>
          <w:kern w:val="0"/>
          <w:sz w:val="24"/>
          <w:szCs w:val="24"/>
          <w:lang w:val="en-US" w:eastAsia="zh-CN"/>
        </w:rPr>
        <w:t>1</w:t>
      </w:r>
      <w:r>
        <w:rPr>
          <w:rFonts w:hint="eastAsia" w:ascii="方正仿宋_GBK" w:hAnsi="方正仿宋_GBK" w:eastAsia="方正仿宋_GBK" w:cs="方正仿宋_GBK"/>
          <w:color w:val="auto"/>
          <w:kern w:val="0"/>
          <w:sz w:val="24"/>
          <w:szCs w:val="24"/>
        </w:rPr>
        <w:t>、规范健全的制度体系、管理权责界定清晰、制度更新及时、考核机制健全、制度执行力强和制度内容完整不重叠、不冲突</w:t>
      </w:r>
      <w:r>
        <w:rPr>
          <w:rFonts w:hint="eastAsia" w:ascii="方正仿宋_GBK" w:hAnsi="方正仿宋_GBK" w:eastAsia="方正仿宋_GBK" w:cs="方正仿宋_GBK"/>
          <w:color w:val="auto"/>
          <w:kern w:val="0"/>
          <w:sz w:val="24"/>
          <w:szCs w:val="24"/>
          <w:lang w:eastAsia="zh-CN"/>
        </w:rPr>
        <w:t>。</w:t>
      </w:r>
    </w:p>
    <w:p w14:paraId="4BE1ED5D">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left"/>
        <w:textAlignment w:val="auto"/>
        <w:rPr>
          <w:rFonts w:hint="eastAsia" w:ascii="方正仿宋_GBK" w:hAnsi="方正仿宋_GBK" w:eastAsia="方正仿宋_GBK" w:cs="方正仿宋_GBK"/>
          <w:color w:val="auto"/>
          <w:kern w:val="0"/>
          <w:sz w:val="24"/>
          <w:szCs w:val="24"/>
          <w:lang w:eastAsia="zh-CN"/>
        </w:rPr>
      </w:pPr>
      <w:r>
        <w:rPr>
          <w:rFonts w:hint="eastAsia" w:ascii="方正仿宋_GBK" w:hAnsi="方正仿宋_GBK" w:eastAsia="方正仿宋_GBK" w:cs="方正仿宋_GBK"/>
          <w:color w:val="auto"/>
          <w:kern w:val="0"/>
          <w:sz w:val="24"/>
          <w:szCs w:val="24"/>
          <w:lang w:val="en-US" w:eastAsia="zh-CN"/>
        </w:rPr>
        <w:t>2</w:t>
      </w:r>
      <w:r>
        <w:rPr>
          <w:rFonts w:hint="eastAsia" w:ascii="方正仿宋_GBK" w:hAnsi="方正仿宋_GBK" w:eastAsia="方正仿宋_GBK" w:cs="方正仿宋_GBK"/>
          <w:color w:val="auto"/>
          <w:kern w:val="0"/>
          <w:sz w:val="24"/>
          <w:szCs w:val="24"/>
        </w:rPr>
        <w:t>、</w:t>
      </w:r>
      <w:r>
        <w:rPr>
          <w:rFonts w:hint="eastAsia" w:ascii="方正仿宋_GBK" w:hAnsi="方正仿宋_GBK" w:eastAsia="方正仿宋_GBK" w:cs="方正仿宋_GBK"/>
          <w:color w:val="auto"/>
          <w:kern w:val="0"/>
          <w:sz w:val="24"/>
          <w:szCs w:val="24"/>
          <w:lang w:val="en-US" w:eastAsia="zh-CN"/>
        </w:rPr>
        <w:t>部门职责、</w:t>
      </w:r>
      <w:r>
        <w:rPr>
          <w:rFonts w:hint="eastAsia" w:ascii="方正仿宋_GBK" w:hAnsi="方正仿宋_GBK" w:eastAsia="方正仿宋_GBK" w:cs="方正仿宋_GBK"/>
          <w:color w:val="auto"/>
          <w:kern w:val="0"/>
          <w:sz w:val="24"/>
          <w:szCs w:val="24"/>
        </w:rPr>
        <w:t>岗位职责定位明确、权限划分清晰、组织架构设计适当、结构层次科学</w:t>
      </w:r>
      <w:r>
        <w:rPr>
          <w:rFonts w:hint="eastAsia" w:ascii="方正仿宋_GBK" w:hAnsi="方正仿宋_GBK" w:eastAsia="方正仿宋_GBK" w:cs="方正仿宋_GBK"/>
          <w:color w:val="auto"/>
          <w:kern w:val="0"/>
          <w:sz w:val="24"/>
          <w:szCs w:val="24"/>
          <w:lang w:eastAsia="zh-CN"/>
        </w:rPr>
        <w:t>。</w:t>
      </w:r>
    </w:p>
    <w:p w14:paraId="1E54E53B">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left"/>
        <w:textAlignment w:val="auto"/>
        <w:rPr>
          <w:rFonts w:hint="eastAsia" w:ascii="方正仿宋_GBK" w:hAnsi="方正仿宋_GBK" w:eastAsia="方正仿宋_GBK" w:cs="方正仿宋_GBK"/>
          <w:color w:val="auto"/>
          <w:kern w:val="0"/>
          <w:sz w:val="24"/>
          <w:szCs w:val="24"/>
          <w:lang w:eastAsia="zh-CN"/>
        </w:rPr>
      </w:pPr>
      <w:r>
        <w:rPr>
          <w:rFonts w:hint="eastAsia" w:ascii="方正仿宋_GBK" w:hAnsi="方正仿宋_GBK" w:eastAsia="方正仿宋_GBK" w:cs="方正仿宋_GBK"/>
          <w:color w:val="auto"/>
          <w:kern w:val="0"/>
          <w:sz w:val="24"/>
          <w:szCs w:val="24"/>
          <w:lang w:val="en-US" w:eastAsia="zh-CN"/>
        </w:rPr>
        <w:t>3</w:t>
      </w:r>
      <w:r>
        <w:rPr>
          <w:rFonts w:hint="eastAsia" w:ascii="方正仿宋_GBK" w:hAnsi="方正仿宋_GBK" w:eastAsia="方正仿宋_GBK" w:cs="方正仿宋_GBK"/>
          <w:color w:val="auto"/>
          <w:kern w:val="0"/>
          <w:sz w:val="24"/>
          <w:szCs w:val="24"/>
        </w:rPr>
        <w:t>、招聘方式合理、人才选拔培养程序合理、薪酬制度科学合理、奖惩措施公正、</w:t>
      </w:r>
      <w:r>
        <w:rPr>
          <w:rFonts w:hint="eastAsia" w:ascii="方正仿宋_GBK" w:hAnsi="方正仿宋_GBK" w:eastAsia="方正仿宋_GBK" w:cs="方正仿宋_GBK"/>
          <w:color w:val="auto"/>
          <w:kern w:val="0"/>
          <w:sz w:val="24"/>
          <w:szCs w:val="24"/>
          <w:lang w:val="en-US" w:eastAsia="zh-CN"/>
        </w:rPr>
        <w:t>有效落实制度、</w:t>
      </w:r>
      <w:r>
        <w:rPr>
          <w:rFonts w:hint="eastAsia" w:ascii="方正仿宋_GBK" w:hAnsi="方正仿宋_GBK" w:eastAsia="方正仿宋_GBK" w:cs="方正仿宋_GBK"/>
          <w:color w:val="auto"/>
          <w:kern w:val="0"/>
          <w:sz w:val="24"/>
          <w:szCs w:val="24"/>
        </w:rPr>
        <w:t>骨干人才稳定</w:t>
      </w:r>
      <w:r>
        <w:rPr>
          <w:rFonts w:hint="eastAsia" w:ascii="方正仿宋_GBK" w:hAnsi="方正仿宋_GBK" w:eastAsia="方正仿宋_GBK" w:cs="方正仿宋_GBK"/>
          <w:color w:val="auto"/>
          <w:kern w:val="0"/>
          <w:sz w:val="24"/>
          <w:szCs w:val="24"/>
          <w:lang w:eastAsia="zh-CN"/>
        </w:rPr>
        <w:t>。</w:t>
      </w:r>
    </w:p>
    <w:p w14:paraId="6F7E7228">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left"/>
        <w:textAlignment w:val="auto"/>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lang w:val="en-US" w:eastAsia="zh-CN"/>
        </w:rPr>
        <w:t>4</w:t>
      </w:r>
      <w:r>
        <w:rPr>
          <w:rFonts w:hint="eastAsia" w:ascii="方正仿宋_GBK" w:hAnsi="方正仿宋_GBK" w:eastAsia="方正仿宋_GBK" w:cs="方正仿宋_GBK"/>
          <w:color w:val="auto"/>
          <w:kern w:val="0"/>
          <w:sz w:val="24"/>
          <w:szCs w:val="24"/>
        </w:rPr>
        <w:t>、档案管理程序健全、档案管理职责清晰</w:t>
      </w:r>
      <w:r>
        <w:rPr>
          <w:rFonts w:hint="eastAsia" w:ascii="方正仿宋_GBK" w:hAnsi="方正仿宋_GBK" w:eastAsia="方正仿宋_GBK" w:cs="方正仿宋_GBK"/>
          <w:color w:val="auto"/>
          <w:kern w:val="0"/>
          <w:sz w:val="24"/>
          <w:szCs w:val="24"/>
          <w:lang w:eastAsia="zh-CN"/>
        </w:rPr>
        <w:t>、</w:t>
      </w:r>
      <w:r>
        <w:rPr>
          <w:rFonts w:hint="eastAsia" w:ascii="方正仿宋_GBK" w:hAnsi="方正仿宋_GBK" w:eastAsia="方正仿宋_GBK" w:cs="方正仿宋_GBK"/>
          <w:color w:val="auto"/>
          <w:kern w:val="0"/>
          <w:sz w:val="24"/>
          <w:szCs w:val="24"/>
          <w:lang w:val="en-US" w:eastAsia="zh-CN"/>
        </w:rPr>
        <w:t>档案管理规范有序。</w:t>
      </w:r>
    </w:p>
    <w:p w14:paraId="1851DC6C">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left"/>
        <w:textAlignment w:val="auto"/>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lang w:val="en-US" w:eastAsia="zh-CN"/>
        </w:rPr>
        <w:t>5</w:t>
      </w:r>
      <w:r>
        <w:rPr>
          <w:rFonts w:hint="eastAsia" w:ascii="方正仿宋_GBK" w:hAnsi="方正仿宋_GBK" w:eastAsia="方正仿宋_GBK" w:cs="方正仿宋_GBK"/>
          <w:color w:val="auto"/>
          <w:kern w:val="0"/>
          <w:sz w:val="24"/>
          <w:szCs w:val="24"/>
        </w:rPr>
        <w:t>、内控体系健全、内部沟通畅通、权责分配清晰合理、内控执行到位、监督程序履行严格、内控调整及时。</w:t>
      </w:r>
    </w:p>
    <w:p w14:paraId="38A7C90F">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left"/>
        <w:textAlignment w:val="auto"/>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lang w:val="en-US" w:eastAsia="zh-CN"/>
        </w:rPr>
        <w:t>6</w:t>
      </w:r>
      <w:r>
        <w:rPr>
          <w:rFonts w:hint="eastAsia" w:ascii="方正仿宋_GBK" w:hAnsi="方正仿宋_GBK" w:eastAsia="方正仿宋_GBK" w:cs="方正仿宋_GBK"/>
          <w:color w:val="auto"/>
          <w:kern w:val="0"/>
          <w:sz w:val="24"/>
          <w:szCs w:val="24"/>
        </w:rPr>
        <w:t>、下列是运营风险等级划分：</w:t>
      </w:r>
    </w:p>
    <w:p w14:paraId="53A2E0E3">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left"/>
        <w:textAlignment w:val="auto"/>
        <w:rPr>
          <w:rFonts w:hint="eastAsia" w:ascii="方正仿宋_GBK" w:hAnsi="方正仿宋_GBK" w:eastAsia="方正仿宋_GBK" w:cs="方正仿宋_GBK"/>
          <w:color w:val="auto"/>
          <w:kern w:val="0"/>
          <w:sz w:val="24"/>
          <w:szCs w:val="24"/>
          <w:lang w:eastAsia="zh-CN"/>
        </w:rPr>
      </w:pPr>
      <w:r>
        <w:rPr>
          <w:rFonts w:hint="eastAsia" w:ascii="方正仿宋_GBK" w:hAnsi="方正仿宋_GBK" w:eastAsia="方正仿宋_GBK" w:cs="方正仿宋_GBK"/>
          <w:color w:val="auto"/>
          <w:kern w:val="0"/>
          <w:sz w:val="24"/>
          <w:szCs w:val="24"/>
          <w:lang w:val="en-US" w:eastAsia="zh-CN"/>
        </w:rPr>
        <w:t>6-1</w:t>
      </w:r>
      <w:r>
        <w:rPr>
          <w:rFonts w:hint="eastAsia" w:ascii="方正仿宋_GBK" w:hAnsi="方正仿宋_GBK" w:eastAsia="方正仿宋_GBK" w:cs="方正仿宋_GBK"/>
          <w:color w:val="auto"/>
          <w:kern w:val="0"/>
          <w:sz w:val="24"/>
          <w:szCs w:val="24"/>
        </w:rPr>
        <w:t>、上述5条均满足，风险等级为绿色安全</w:t>
      </w:r>
      <w:r>
        <w:rPr>
          <w:rFonts w:hint="eastAsia" w:ascii="方正仿宋_GBK" w:hAnsi="方正仿宋_GBK" w:eastAsia="方正仿宋_GBK" w:cs="方正仿宋_GBK"/>
          <w:color w:val="auto"/>
          <w:kern w:val="0"/>
          <w:sz w:val="24"/>
          <w:szCs w:val="24"/>
          <w:lang w:eastAsia="zh-CN"/>
        </w:rPr>
        <w:t>。</w:t>
      </w:r>
    </w:p>
    <w:p w14:paraId="4D36AD0A">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left"/>
        <w:textAlignment w:val="auto"/>
        <w:rPr>
          <w:rFonts w:hint="eastAsia" w:ascii="方正仿宋_GBK" w:hAnsi="方正仿宋_GBK" w:eastAsia="方正仿宋_GBK" w:cs="方正仿宋_GBK"/>
          <w:color w:val="auto"/>
          <w:kern w:val="0"/>
          <w:sz w:val="24"/>
          <w:szCs w:val="24"/>
          <w:lang w:eastAsia="zh-CN"/>
        </w:rPr>
      </w:pPr>
      <w:r>
        <w:rPr>
          <w:rFonts w:hint="eastAsia" w:ascii="方正仿宋_GBK" w:hAnsi="方正仿宋_GBK" w:eastAsia="方正仿宋_GBK" w:cs="方正仿宋_GBK"/>
          <w:color w:val="auto"/>
          <w:kern w:val="0"/>
          <w:sz w:val="24"/>
          <w:szCs w:val="24"/>
          <w:lang w:val="en-US" w:eastAsia="zh-CN"/>
        </w:rPr>
        <w:t>6-2</w:t>
      </w:r>
      <w:r>
        <w:rPr>
          <w:rFonts w:hint="eastAsia" w:ascii="方正仿宋_GBK" w:hAnsi="方正仿宋_GBK" w:eastAsia="方正仿宋_GBK" w:cs="方正仿宋_GBK"/>
          <w:color w:val="auto"/>
          <w:kern w:val="0"/>
          <w:sz w:val="24"/>
          <w:szCs w:val="24"/>
        </w:rPr>
        <w:t>、上述只有4条满足，风险等级为蓝色预警</w:t>
      </w:r>
      <w:r>
        <w:rPr>
          <w:rFonts w:hint="eastAsia" w:ascii="方正仿宋_GBK" w:hAnsi="方正仿宋_GBK" w:eastAsia="方正仿宋_GBK" w:cs="方正仿宋_GBK"/>
          <w:color w:val="auto"/>
          <w:kern w:val="0"/>
          <w:sz w:val="24"/>
          <w:szCs w:val="24"/>
          <w:lang w:eastAsia="zh-CN"/>
        </w:rPr>
        <w:t>。</w:t>
      </w:r>
    </w:p>
    <w:p w14:paraId="63F80339">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left"/>
        <w:textAlignment w:val="auto"/>
        <w:rPr>
          <w:rFonts w:hint="eastAsia" w:ascii="方正仿宋_GBK" w:hAnsi="方正仿宋_GBK" w:eastAsia="方正仿宋_GBK" w:cs="方正仿宋_GBK"/>
          <w:color w:val="auto"/>
          <w:kern w:val="0"/>
          <w:sz w:val="24"/>
          <w:szCs w:val="24"/>
          <w:lang w:eastAsia="zh-CN"/>
        </w:rPr>
      </w:pPr>
      <w:r>
        <w:rPr>
          <w:rFonts w:hint="eastAsia" w:ascii="方正仿宋_GBK" w:hAnsi="方正仿宋_GBK" w:eastAsia="方正仿宋_GBK" w:cs="方正仿宋_GBK"/>
          <w:color w:val="auto"/>
          <w:kern w:val="0"/>
          <w:sz w:val="24"/>
          <w:szCs w:val="24"/>
          <w:lang w:val="en-US" w:eastAsia="zh-CN"/>
        </w:rPr>
        <w:t>6-3</w:t>
      </w:r>
      <w:r>
        <w:rPr>
          <w:rFonts w:hint="eastAsia" w:ascii="方正仿宋_GBK" w:hAnsi="方正仿宋_GBK" w:eastAsia="方正仿宋_GBK" w:cs="方正仿宋_GBK"/>
          <w:color w:val="auto"/>
          <w:kern w:val="0"/>
          <w:sz w:val="24"/>
          <w:szCs w:val="24"/>
        </w:rPr>
        <w:t>、上述只有3条满足，风险等级为黄色预警</w:t>
      </w:r>
      <w:r>
        <w:rPr>
          <w:rFonts w:hint="eastAsia" w:ascii="方正仿宋_GBK" w:hAnsi="方正仿宋_GBK" w:eastAsia="方正仿宋_GBK" w:cs="方正仿宋_GBK"/>
          <w:color w:val="auto"/>
          <w:kern w:val="0"/>
          <w:sz w:val="24"/>
          <w:szCs w:val="24"/>
          <w:lang w:eastAsia="zh-CN"/>
        </w:rPr>
        <w:t>。</w:t>
      </w:r>
    </w:p>
    <w:p w14:paraId="4768336D">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left"/>
        <w:textAlignment w:val="auto"/>
        <w:rPr>
          <w:rFonts w:hint="eastAsia" w:ascii="方正仿宋_GBK" w:hAnsi="方正仿宋_GBK" w:eastAsia="方正仿宋_GBK" w:cs="方正仿宋_GBK"/>
          <w:color w:val="auto"/>
          <w:kern w:val="0"/>
          <w:sz w:val="24"/>
          <w:szCs w:val="24"/>
          <w:lang w:eastAsia="zh-CN"/>
        </w:rPr>
      </w:pPr>
      <w:r>
        <w:rPr>
          <w:rFonts w:hint="eastAsia" w:ascii="方正仿宋_GBK" w:hAnsi="方正仿宋_GBK" w:eastAsia="方正仿宋_GBK" w:cs="方正仿宋_GBK"/>
          <w:color w:val="auto"/>
          <w:kern w:val="0"/>
          <w:sz w:val="24"/>
          <w:szCs w:val="24"/>
          <w:lang w:val="en-US" w:eastAsia="zh-CN"/>
        </w:rPr>
        <w:t>6-4</w:t>
      </w:r>
      <w:r>
        <w:rPr>
          <w:rFonts w:hint="eastAsia" w:ascii="方正仿宋_GBK" w:hAnsi="方正仿宋_GBK" w:eastAsia="方正仿宋_GBK" w:cs="方正仿宋_GBK"/>
          <w:color w:val="auto"/>
          <w:kern w:val="0"/>
          <w:sz w:val="24"/>
          <w:szCs w:val="24"/>
        </w:rPr>
        <w:t>、上述只有2条满足，风险等级为橙色预警</w:t>
      </w:r>
      <w:r>
        <w:rPr>
          <w:rFonts w:hint="eastAsia" w:ascii="方正仿宋_GBK" w:hAnsi="方正仿宋_GBK" w:eastAsia="方正仿宋_GBK" w:cs="方正仿宋_GBK"/>
          <w:color w:val="auto"/>
          <w:kern w:val="0"/>
          <w:sz w:val="24"/>
          <w:szCs w:val="24"/>
          <w:lang w:eastAsia="zh-CN"/>
        </w:rPr>
        <w:t>。</w:t>
      </w:r>
    </w:p>
    <w:p w14:paraId="2240F44D">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left"/>
        <w:textAlignment w:val="auto"/>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lang w:val="en-US" w:eastAsia="zh-CN"/>
        </w:rPr>
        <w:t>6-5</w:t>
      </w:r>
      <w:r>
        <w:rPr>
          <w:rFonts w:hint="eastAsia" w:ascii="方正仿宋_GBK" w:hAnsi="方正仿宋_GBK" w:eastAsia="方正仿宋_GBK" w:cs="方正仿宋_GBK"/>
          <w:color w:val="auto"/>
          <w:kern w:val="0"/>
          <w:sz w:val="24"/>
          <w:szCs w:val="24"/>
        </w:rPr>
        <w:t>、上述只有1条满足，风险等级为红色预警。</w:t>
      </w:r>
    </w:p>
    <w:p w14:paraId="33285F67">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方正仿宋_GBK" w:hAnsi="方正仿宋_GBK" w:eastAsia="方正仿宋_GBK" w:cs="方正仿宋_GBK"/>
          <w:b/>
          <w:bCs/>
          <w:color w:val="auto"/>
          <w:kern w:val="0"/>
          <w:sz w:val="24"/>
          <w:szCs w:val="24"/>
        </w:rPr>
      </w:pPr>
      <w:r>
        <w:rPr>
          <w:rFonts w:hint="eastAsia" w:ascii="方正仿宋_GBK" w:hAnsi="方正仿宋_GBK" w:eastAsia="方正仿宋_GBK" w:cs="方正仿宋_GBK"/>
          <w:b/>
          <w:bCs/>
          <w:color w:val="auto"/>
          <w:kern w:val="0"/>
          <w:sz w:val="24"/>
          <w:szCs w:val="24"/>
          <w:lang w:eastAsia="zh-CN"/>
        </w:rPr>
        <w:t>（</w:t>
      </w:r>
      <w:r>
        <w:rPr>
          <w:rFonts w:hint="eastAsia" w:ascii="方正仿宋_GBK" w:hAnsi="方正仿宋_GBK" w:eastAsia="方正仿宋_GBK" w:cs="方正仿宋_GBK"/>
          <w:b/>
          <w:bCs/>
          <w:color w:val="auto"/>
          <w:kern w:val="0"/>
          <w:sz w:val="24"/>
          <w:szCs w:val="24"/>
          <w:lang w:val="en-US" w:eastAsia="zh-CN"/>
        </w:rPr>
        <w:t>三</w:t>
      </w:r>
      <w:r>
        <w:rPr>
          <w:rFonts w:hint="eastAsia" w:ascii="方正仿宋_GBK" w:hAnsi="方正仿宋_GBK" w:eastAsia="方正仿宋_GBK" w:cs="方正仿宋_GBK"/>
          <w:b/>
          <w:bCs/>
          <w:color w:val="auto"/>
          <w:kern w:val="0"/>
          <w:sz w:val="24"/>
          <w:szCs w:val="24"/>
          <w:lang w:eastAsia="zh-CN"/>
        </w:rPr>
        <w:t>）</w:t>
      </w:r>
      <w:r>
        <w:rPr>
          <w:rFonts w:hint="eastAsia" w:ascii="方正仿宋_GBK" w:hAnsi="方正仿宋_GBK" w:eastAsia="方正仿宋_GBK" w:cs="方正仿宋_GBK"/>
          <w:b/>
          <w:bCs/>
          <w:color w:val="auto"/>
          <w:kern w:val="0"/>
          <w:sz w:val="24"/>
          <w:szCs w:val="24"/>
        </w:rPr>
        <w:t>下列是市场风险的判断依据：</w:t>
      </w:r>
    </w:p>
    <w:p w14:paraId="78AA9BFD">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left"/>
        <w:textAlignment w:val="auto"/>
        <w:rPr>
          <w:rFonts w:hint="eastAsia" w:ascii="方正仿宋_GBK" w:hAnsi="方正仿宋_GBK" w:eastAsia="方正仿宋_GBK" w:cs="方正仿宋_GBK"/>
          <w:color w:val="auto"/>
          <w:kern w:val="0"/>
          <w:sz w:val="24"/>
          <w:szCs w:val="24"/>
          <w:lang w:eastAsia="zh-CN"/>
        </w:rPr>
      </w:pPr>
      <w:r>
        <w:rPr>
          <w:rFonts w:hint="eastAsia" w:ascii="方正仿宋_GBK" w:hAnsi="方正仿宋_GBK" w:eastAsia="方正仿宋_GBK" w:cs="方正仿宋_GBK"/>
          <w:color w:val="auto"/>
          <w:kern w:val="0"/>
          <w:sz w:val="24"/>
          <w:szCs w:val="24"/>
          <w:lang w:val="en-US" w:eastAsia="zh-CN"/>
        </w:rPr>
        <w:t>1</w:t>
      </w:r>
      <w:r>
        <w:rPr>
          <w:rFonts w:hint="eastAsia" w:ascii="方正仿宋_GBK" w:hAnsi="方正仿宋_GBK" w:eastAsia="方正仿宋_GBK" w:cs="方正仿宋_GBK"/>
          <w:color w:val="auto"/>
          <w:kern w:val="0"/>
          <w:sz w:val="24"/>
          <w:szCs w:val="24"/>
        </w:rPr>
        <w:t>、新辟</w:t>
      </w:r>
      <w:r>
        <w:rPr>
          <w:rFonts w:hint="eastAsia" w:ascii="方正仿宋_GBK" w:hAnsi="方正仿宋_GBK" w:eastAsia="方正仿宋_GBK" w:cs="方正仿宋_GBK"/>
          <w:color w:val="auto"/>
          <w:kern w:val="0"/>
          <w:sz w:val="24"/>
          <w:szCs w:val="24"/>
          <w:lang w:eastAsia="zh-CN"/>
        </w:rPr>
        <w:t>“</w:t>
      </w:r>
      <w:r>
        <w:rPr>
          <w:rFonts w:hint="eastAsia" w:ascii="方正仿宋_GBK" w:hAnsi="方正仿宋_GBK" w:eastAsia="方正仿宋_GBK" w:cs="方正仿宋_GBK"/>
          <w:color w:val="auto"/>
          <w:kern w:val="0"/>
          <w:sz w:val="24"/>
          <w:szCs w:val="24"/>
        </w:rPr>
        <w:t>市场</w:t>
      </w:r>
      <w:r>
        <w:rPr>
          <w:rFonts w:hint="eastAsia" w:ascii="方正仿宋_GBK" w:hAnsi="方正仿宋_GBK" w:eastAsia="方正仿宋_GBK" w:cs="方正仿宋_GBK"/>
          <w:color w:val="auto"/>
          <w:kern w:val="0"/>
          <w:sz w:val="24"/>
          <w:szCs w:val="24"/>
          <w:lang w:eastAsia="zh-CN"/>
        </w:rPr>
        <w:t>”</w:t>
      </w:r>
      <w:r>
        <w:rPr>
          <w:rFonts w:hint="eastAsia" w:ascii="方正仿宋_GBK" w:hAnsi="方正仿宋_GBK" w:eastAsia="方正仿宋_GBK" w:cs="方正仿宋_GBK"/>
          <w:color w:val="auto"/>
          <w:kern w:val="0"/>
          <w:sz w:val="24"/>
          <w:szCs w:val="24"/>
        </w:rPr>
        <w:t>的预测准确、竞争分析科学合理、</w:t>
      </w:r>
      <w:r>
        <w:rPr>
          <w:rFonts w:hint="eastAsia" w:ascii="方正仿宋_GBK" w:hAnsi="方正仿宋_GBK" w:eastAsia="方正仿宋_GBK" w:cs="方正仿宋_GBK"/>
          <w:color w:val="auto"/>
          <w:kern w:val="0"/>
          <w:sz w:val="24"/>
          <w:szCs w:val="24"/>
          <w:lang w:eastAsia="zh-CN"/>
        </w:rPr>
        <w:t>“</w:t>
      </w:r>
      <w:r>
        <w:rPr>
          <w:rFonts w:hint="eastAsia" w:ascii="方正仿宋_GBK" w:hAnsi="方正仿宋_GBK" w:eastAsia="方正仿宋_GBK" w:cs="方正仿宋_GBK"/>
          <w:color w:val="auto"/>
          <w:kern w:val="0"/>
          <w:sz w:val="24"/>
          <w:szCs w:val="24"/>
        </w:rPr>
        <w:t>市场</w:t>
      </w:r>
      <w:r>
        <w:rPr>
          <w:rFonts w:hint="eastAsia" w:ascii="方正仿宋_GBK" w:hAnsi="方正仿宋_GBK" w:eastAsia="方正仿宋_GBK" w:cs="方正仿宋_GBK"/>
          <w:color w:val="auto"/>
          <w:kern w:val="0"/>
          <w:sz w:val="24"/>
          <w:szCs w:val="24"/>
          <w:lang w:eastAsia="zh-CN"/>
        </w:rPr>
        <w:t>”</w:t>
      </w:r>
      <w:r>
        <w:rPr>
          <w:rFonts w:hint="eastAsia" w:ascii="方正仿宋_GBK" w:hAnsi="方正仿宋_GBK" w:eastAsia="方正仿宋_GBK" w:cs="方正仿宋_GBK"/>
          <w:color w:val="auto"/>
          <w:kern w:val="0"/>
          <w:sz w:val="24"/>
          <w:szCs w:val="24"/>
        </w:rPr>
        <w:t>开拓策略合理、开拓人员满足</w:t>
      </w:r>
      <w:r>
        <w:rPr>
          <w:rFonts w:hint="eastAsia" w:ascii="方正仿宋_GBK" w:hAnsi="方正仿宋_GBK" w:eastAsia="方正仿宋_GBK" w:cs="方正仿宋_GBK"/>
          <w:color w:val="auto"/>
          <w:kern w:val="0"/>
          <w:sz w:val="24"/>
          <w:szCs w:val="24"/>
          <w:lang w:eastAsia="zh-CN"/>
        </w:rPr>
        <w:t>“</w:t>
      </w:r>
      <w:r>
        <w:rPr>
          <w:rFonts w:hint="eastAsia" w:ascii="方正仿宋_GBK" w:hAnsi="方正仿宋_GBK" w:eastAsia="方正仿宋_GBK" w:cs="方正仿宋_GBK"/>
          <w:color w:val="auto"/>
          <w:kern w:val="0"/>
          <w:sz w:val="24"/>
          <w:szCs w:val="24"/>
        </w:rPr>
        <w:t>市场</w:t>
      </w:r>
      <w:r>
        <w:rPr>
          <w:rFonts w:hint="eastAsia" w:ascii="方正仿宋_GBK" w:hAnsi="方正仿宋_GBK" w:eastAsia="方正仿宋_GBK" w:cs="方正仿宋_GBK"/>
          <w:color w:val="auto"/>
          <w:kern w:val="0"/>
          <w:sz w:val="24"/>
          <w:szCs w:val="24"/>
          <w:lang w:eastAsia="zh-CN"/>
        </w:rPr>
        <w:t>”</w:t>
      </w:r>
      <w:r>
        <w:rPr>
          <w:rFonts w:hint="eastAsia" w:ascii="方正仿宋_GBK" w:hAnsi="方正仿宋_GBK" w:eastAsia="方正仿宋_GBK" w:cs="方正仿宋_GBK"/>
          <w:color w:val="auto"/>
          <w:kern w:val="0"/>
          <w:sz w:val="24"/>
          <w:szCs w:val="24"/>
        </w:rPr>
        <w:t>需求</w:t>
      </w:r>
      <w:r>
        <w:rPr>
          <w:rFonts w:hint="eastAsia" w:ascii="方正仿宋_GBK" w:hAnsi="方正仿宋_GBK" w:eastAsia="方正仿宋_GBK" w:cs="方正仿宋_GBK"/>
          <w:color w:val="auto"/>
          <w:kern w:val="0"/>
          <w:sz w:val="24"/>
          <w:szCs w:val="24"/>
          <w:lang w:eastAsia="zh-CN"/>
        </w:rPr>
        <w:t>，</w:t>
      </w:r>
      <w:r>
        <w:rPr>
          <w:rFonts w:hint="eastAsia" w:ascii="方正仿宋_GBK" w:hAnsi="方正仿宋_GBK" w:eastAsia="方正仿宋_GBK" w:cs="方正仿宋_GBK"/>
          <w:color w:val="auto"/>
          <w:kern w:val="0"/>
          <w:sz w:val="24"/>
          <w:szCs w:val="24"/>
          <w:lang w:val="en-US" w:eastAsia="zh-CN"/>
        </w:rPr>
        <w:t>这里的“市场”主要指社会服务或公益领域的业务拓展或延展</w:t>
      </w:r>
      <w:r>
        <w:rPr>
          <w:rFonts w:hint="eastAsia" w:ascii="方正仿宋_GBK" w:hAnsi="方正仿宋_GBK" w:eastAsia="方正仿宋_GBK" w:cs="方正仿宋_GBK"/>
          <w:color w:val="auto"/>
          <w:kern w:val="0"/>
          <w:sz w:val="24"/>
          <w:szCs w:val="24"/>
          <w:lang w:eastAsia="zh-CN"/>
        </w:rPr>
        <w:t>。</w:t>
      </w:r>
    </w:p>
    <w:p w14:paraId="1945FA3C">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left"/>
        <w:textAlignment w:val="auto"/>
        <w:rPr>
          <w:rFonts w:hint="eastAsia" w:ascii="方正仿宋_GBK" w:hAnsi="方正仿宋_GBK" w:eastAsia="方正仿宋_GBK" w:cs="方正仿宋_GBK"/>
          <w:color w:val="auto"/>
          <w:kern w:val="0"/>
          <w:sz w:val="24"/>
          <w:szCs w:val="24"/>
          <w:lang w:eastAsia="zh-CN"/>
        </w:rPr>
      </w:pPr>
      <w:r>
        <w:rPr>
          <w:rFonts w:hint="eastAsia" w:ascii="方正仿宋_GBK" w:hAnsi="方正仿宋_GBK" w:eastAsia="方正仿宋_GBK" w:cs="方正仿宋_GBK"/>
          <w:color w:val="auto"/>
          <w:kern w:val="0"/>
          <w:sz w:val="24"/>
          <w:szCs w:val="24"/>
          <w:lang w:val="en-US" w:eastAsia="zh-CN"/>
        </w:rPr>
        <w:t>2</w:t>
      </w:r>
      <w:r>
        <w:rPr>
          <w:rFonts w:hint="eastAsia" w:ascii="方正仿宋_GBK" w:hAnsi="方正仿宋_GBK" w:eastAsia="方正仿宋_GBK" w:cs="方正仿宋_GBK"/>
          <w:color w:val="auto"/>
          <w:kern w:val="0"/>
          <w:sz w:val="24"/>
          <w:szCs w:val="24"/>
        </w:rPr>
        <w:t>、品牌策划合理、组织与实施过程规范、机构资源利用充分、品牌维护</w:t>
      </w:r>
      <w:r>
        <w:rPr>
          <w:rFonts w:hint="eastAsia" w:ascii="方正仿宋_GBK" w:hAnsi="方正仿宋_GBK" w:eastAsia="方正仿宋_GBK" w:cs="方正仿宋_GBK"/>
          <w:color w:val="auto"/>
          <w:kern w:val="0"/>
          <w:sz w:val="24"/>
          <w:szCs w:val="24"/>
          <w:lang w:val="en-US" w:eastAsia="zh-CN"/>
        </w:rPr>
        <w:t>和宣传推广</w:t>
      </w:r>
      <w:r>
        <w:rPr>
          <w:rFonts w:hint="eastAsia" w:ascii="方正仿宋_GBK" w:hAnsi="方正仿宋_GBK" w:eastAsia="方正仿宋_GBK" w:cs="方正仿宋_GBK"/>
          <w:color w:val="auto"/>
          <w:kern w:val="0"/>
          <w:sz w:val="24"/>
          <w:szCs w:val="24"/>
        </w:rPr>
        <w:t>到位</w:t>
      </w:r>
      <w:r>
        <w:rPr>
          <w:rFonts w:hint="eastAsia" w:ascii="方正仿宋_GBK" w:hAnsi="方正仿宋_GBK" w:eastAsia="方正仿宋_GBK" w:cs="方正仿宋_GBK"/>
          <w:color w:val="auto"/>
          <w:kern w:val="0"/>
          <w:sz w:val="24"/>
          <w:szCs w:val="24"/>
          <w:lang w:eastAsia="zh-CN"/>
        </w:rPr>
        <w:t>。</w:t>
      </w:r>
    </w:p>
    <w:p w14:paraId="387759D2">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left"/>
        <w:textAlignment w:val="auto"/>
        <w:rPr>
          <w:rFonts w:hint="eastAsia" w:ascii="方正仿宋_GBK" w:hAnsi="方正仿宋_GBK" w:eastAsia="方正仿宋_GBK" w:cs="方正仿宋_GBK"/>
          <w:color w:val="auto"/>
          <w:kern w:val="0"/>
          <w:sz w:val="24"/>
          <w:szCs w:val="24"/>
          <w:lang w:eastAsia="zh-CN"/>
        </w:rPr>
      </w:pPr>
      <w:r>
        <w:rPr>
          <w:rFonts w:hint="eastAsia" w:ascii="方正仿宋_GBK" w:hAnsi="方正仿宋_GBK" w:eastAsia="方正仿宋_GBK" w:cs="方正仿宋_GBK"/>
          <w:color w:val="auto"/>
          <w:kern w:val="0"/>
          <w:sz w:val="24"/>
          <w:szCs w:val="24"/>
          <w:lang w:val="en-US" w:eastAsia="zh-CN"/>
        </w:rPr>
        <w:t>3</w:t>
      </w:r>
      <w:r>
        <w:rPr>
          <w:rFonts w:hint="eastAsia" w:ascii="方正仿宋_GBK" w:hAnsi="方正仿宋_GBK" w:eastAsia="方正仿宋_GBK" w:cs="方正仿宋_GBK"/>
          <w:color w:val="auto"/>
          <w:kern w:val="0"/>
          <w:sz w:val="24"/>
          <w:szCs w:val="24"/>
        </w:rPr>
        <w:t>、机构发展定位清晰准确、发展定位顺应未来趋势</w:t>
      </w:r>
      <w:r>
        <w:rPr>
          <w:rFonts w:hint="eastAsia" w:ascii="方正仿宋_GBK" w:hAnsi="方正仿宋_GBK" w:eastAsia="方正仿宋_GBK" w:cs="方正仿宋_GBK"/>
          <w:color w:val="auto"/>
          <w:kern w:val="0"/>
          <w:sz w:val="24"/>
          <w:szCs w:val="24"/>
          <w:lang w:eastAsia="zh-CN"/>
        </w:rPr>
        <w:t>。</w:t>
      </w:r>
    </w:p>
    <w:p w14:paraId="04B9965A">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left"/>
        <w:textAlignment w:val="auto"/>
        <w:rPr>
          <w:rFonts w:hint="eastAsia" w:ascii="方正仿宋_GBK" w:hAnsi="方正仿宋_GBK" w:eastAsia="方正仿宋_GBK" w:cs="方正仿宋_GBK"/>
          <w:color w:val="auto"/>
          <w:kern w:val="0"/>
          <w:sz w:val="24"/>
          <w:szCs w:val="24"/>
          <w:lang w:eastAsia="zh-CN"/>
        </w:rPr>
      </w:pPr>
      <w:r>
        <w:rPr>
          <w:rFonts w:hint="eastAsia" w:ascii="方正仿宋_GBK" w:hAnsi="方正仿宋_GBK" w:eastAsia="方正仿宋_GBK" w:cs="方正仿宋_GBK"/>
          <w:color w:val="auto"/>
          <w:kern w:val="0"/>
          <w:sz w:val="24"/>
          <w:szCs w:val="24"/>
          <w:lang w:val="en-US" w:eastAsia="zh-CN"/>
        </w:rPr>
        <w:t>4</w:t>
      </w:r>
      <w:r>
        <w:rPr>
          <w:rFonts w:hint="eastAsia" w:ascii="方正仿宋_GBK" w:hAnsi="方正仿宋_GBK" w:eastAsia="方正仿宋_GBK" w:cs="方正仿宋_GBK"/>
          <w:color w:val="auto"/>
          <w:kern w:val="0"/>
          <w:sz w:val="24"/>
          <w:szCs w:val="24"/>
        </w:rPr>
        <w:t>、项目设计科学、符合机构战略、投入产出</w:t>
      </w:r>
      <w:r>
        <w:rPr>
          <w:rFonts w:hint="eastAsia" w:ascii="方正仿宋_GBK" w:hAnsi="方正仿宋_GBK" w:eastAsia="方正仿宋_GBK" w:cs="方正仿宋_GBK"/>
          <w:color w:val="auto"/>
          <w:kern w:val="0"/>
          <w:sz w:val="24"/>
          <w:szCs w:val="24"/>
          <w:lang w:val="en-US" w:eastAsia="zh-CN"/>
        </w:rPr>
        <w:t>受众</w:t>
      </w:r>
      <w:r>
        <w:rPr>
          <w:rFonts w:hint="eastAsia" w:ascii="方正仿宋_GBK" w:hAnsi="方正仿宋_GBK" w:eastAsia="方正仿宋_GBK" w:cs="方正仿宋_GBK"/>
          <w:color w:val="auto"/>
          <w:kern w:val="0"/>
          <w:sz w:val="24"/>
          <w:szCs w:val="24"/>
        </w:rPr>
        <w:t>高</w:t>
      </w:r>
      <w:r>
        <w:rPr>
          <w:rFonts w:hint="eastAsia" w:ascii="方正仿宋_GBK" w:hAnsi="方正仿宋_GBK" w:eastAsia="方正仿宋_GBK" w:cs="方正仿宋_GBK"/>
          <w:color w:val="auto"/>
          <w:kern w:val="0"/>
          <w:sz w:val="24"/>
          <w:szCs w:val="24"/>
          <w:lang w:eastAsia="zh-CN"/>
        </w:rPr>
        <w:t>。</w:t>
      </w:r>
    </w:p>
    <w:p w14:paraId="580AA407">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left"/>
        <w:textAlignment w:val="auto"/>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lang w:val="en-US" w:eastAsia="zh-CN"/>
        </w:rPr>
        <w:t>5</w:t>
      </w:r>
      <w:r>
        <w:rPr>
          <w:rFonts w:hint="eastAsia" w:ascii="方正仿宋_GBK" w:hAnsi="方正仿宋_GBK" w:eastAsia="方正仿宋_GBK" w:cs="方正仿宋_GBK"/>
          <w:color w:val="auto"/>
          <w:kern w:val="0"/>
          <w:sz w:val="24"/>
          <w:szCs w:val="24"/>
        </w:rPr>
        <w:t>、</w:t>
      </w:r>
      <w:r>
        <w:rPr>
          <w:rFonts w:hint="eastAsia" w:ascii="方正仿宋_GBK" w:hAnsi="方正仿宋_GBK" w:eastAsia="方正仿宋_GBK" w:cs="方正仿宋_GBK"/>
          <w:color w:val="auto"/>
          <w:kern w:val="0"/>
          <w:sz w:val="24"/>
          <w:szCs w:val="24"/>
          <w:lang w:eastAsia="zh-CN"/>
        </w:rPr>
        <w:t>项目</w:t>
      </w:r>
      <w:r>
        <w:rPr>
          <w:rFonts w:hint="eastAsia" w:ascii="方正仿宋_GBK" w:hAnsi="方正仿宋_GBK" w:eastAsia="方正仿宋_GBK" w:cs="方正仿宋_GBK"/>
          <w:color w:val="auto"/>
          <w:kern w:val="0"/>
          <w:sz w:val="24"/>
          <w:szCs w:val="24"/>
        </w:rPr>
        <w:t>预算合理、合规、易操作</w:t>
      </w:r>
      <w:r>
        <w:rPr>
          <w:rFonts w:hint="eastAsia" w:ascii="方正仿宋_GBK" w:hAnsi="方正仿宋_GBK" w:eastAsia="方正仿宋_GBK" w:cs="方正仿宋_GBK"/>
          <w:color w:val="auto"/>
          <w:kern w:val="0"/>
          <w:sz w:val="24"/>
          <w:szCs w:val="24"/>
          <w:lang w:eastAsia="zh-CN"/>
        </w:rPr>
        <w:t>、</w:t>
      </w:r>
      <w:r>
        <w:rPr>
          <w:rFonts w:hint="eastAsia" w:ascii="方正仿宋_GBK" w:hAnsi="方正仿宋_GBK" w:eastAsia="方正仿宋_GBK" w:cs="方正仿宋_GBK"/>
          <w:color w:val="auto"/>
          <w:kern w:val="0"/>
          <w:sz w:val="24"/>
          <w:szCs w:val="24"/>
          <w:lang w:val="en-US" w:eastAsia="zh-CN"/>
        </w:rPr>
        <w:t>管理规范</w:t>
      </w:r>
      <w:r>
        <w:rPr>
          <w:rFonts w:hint="eastAsia" w:ascii="方正仿宋_GBK" w:hAnsi="方正仿宋_GBK" w:eastAsia="方正仿宋_GBK" w:cs="方正仿宋_GBK"/>
          <w:color w:val="auto"/>
          <w:kern w:val="0"/>
          <w:sz w:val="24"/>
          <w:szCs w:val="24"/>
        </w:rPr>
        <w:t>。</w:t>
      </w:r>
    </w:p>
    <w:p w14:paraId="1CF67861">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left"/>
        <w:textAlignment w:val="auto"/>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lang w:val="en-US" w:eastAsia="zh-CN"/>
        </w:rPr>
        <w:t>6</w:t>
      </w:r>
      <w:r>
        <w:rPr>
          <w:rFonts w:hint="eastAsia" w:ascii="方正仿宋_GBK" w:hAnsi="方正仿宋_GBK" w:eastAsia="方正仿宋_GBK" w:cs="方正仿宋_GBK"/>
          <w:color w:val="auto"/>
          <w:kern w:val="0"/>
          <w:sz w:val="24"/>
          <w:szCs w:val="24"/>
        </w:rPr>
        <w:t>、下列是市场风险等级划分：</w:t>
      </w:r>
    </w:p>
    <w:p w14:paraId="741C1C3E">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left"/>
        <w:textAlignment w:val="auto"/>
        <w:rPr>
          <w:rFonts w:hint="eastAsia" w:ascii="方正仿宋_GBK" w:hAnsi="方正仿宋_GBK" w:eastAsia="方正仿宋_GBK" w:cs="方正仿宋_GBK"/>
          <w:color w:val="auto"/>
          <w:kern w:val="0"/>
          <w:sz w:val="24"/>
          <w:szCs w:val="24"/>
          <w:lang w:eastAsia="zh-CN"/>
        </w:rPr>
      </w:pPr>
      <w:r>
        <w:rPr>
          <w:rFonts w:hint="eastAsia" w:ascii="方正仿宋_GBK" w:hAnsi="方正仿宋_GBK" w:eastAsia="方正仿宋_GBK" w:cs="方正仿宋_GBK"/>
          <w:color w:val="auto"/>
          <w:kern w:val="0"/>
          <w:sz w:val="24"/>
          <w:szCs w:val="24"/>
          <w:lang w:val="en-US" w:eastAsia="zh-CN"/>
        </w:rPr>
        <w:t>6-1</w:t>
      </w:r>
      <w:r>
        <w:rPr>
          <w:rFonts w:hint="eastAsia" w:ascii="方正仿宋_GBK" w:hAnsi="方正仿宋_GBK" w:eastAsia="方正仿宋_GBK" w:cs="方正仿宋_GBK"/>
          <w:color w:val="auto"/>
          <w:kern w:val="0"/>
          <w:sz w:val="24"/>
          <w:szCs w:val="24"/>
        </w:rPr>
        <w:t>、上述5条均满足，风险等级为绿色安全</w:t>
      </w:r>
      <w:r>
        <w:rPr>
          <w:rFonts w:hint="eastAsia" w:ascii="方正仿宋_GBK" w:hAnsi="方正仿宋_GBK" w:eastAsia="方正仿宋_GBK" w:cs="方正仿宋_GBK"/>
          <w:color w:val="auto"/>
          <w:kern w:val="0"/>
          <w:sz w:val="24"/>
          <w:szCs w:val="24"/>
          <w:lang w:eastAsia="zh-CN"/>
        </w:rPr>
        <w:t>。</w:t>
      </w:r>
    </w:p>
    <w:p w14:paraId="05A0CE06">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left"/>
        <w:textAlignment w:val="auto"/>
        <w:rPr>
          <w:rFonts w:hint="eastAsia" w:ascii="方正仿宋_GBK" w:hAnsi="方正仿宋_GBK" w:eastAsia="方正仿宋_GBK" w:cs="方正仿宋_GBK"/>
          <w:color w:val="auto"/>
          <w:kern w:val="0"/>
          <w:sz w:val="24"/>
          <w:szCs w:val="24"/>
          <w:lang w:eastAsia="zh-CN"/>
        </w:rPr>
      </w:pPr>
      <w:r>
        <w:rPr>
          <w:rFonts w:hint="eastAsia" w:ascii="方正仿宋_GBK" w:hAnsi="方正仿宋_GBK" w:eastAsia="方正仿宋_GBK" w:cs="方正仿宋_GBK"/>
          <w:color w:val="auto"/>
          <w:kern w:val="0"/>
          <w:sz w:val="24"/>
          <w:szCs w:val="24"/>
          <w:lang w:val="en-US" w:eastAsia="zh-CN"/>
        </w:rPr>
        <w:t>6-2</w:t>
      </w:r>
      <w:r>
        <w:rPr>
          <w:rFonts w:hint="eastAsia" w:ascii="方正仿宋_GBK" w:hAnsi="方正仿宋_GBK" w:eastAsia="方正仿宋_GBK" w:cs="方正仿宋_GBK"/>
          <w:color w:val="auto"/>
          <w:kern w:val="0"/>
          <w:sz w:val="24"/>
          <w:szCs w:val="24"/>
        </w:rPr>
        <w:t>、上述只有4条满足，风险等级为蓝色预警</w:t>
      </w:r>
      <w:r>
        <w:rPr>
          <w:rFonts w:hint="eastAsia" w:ascii="方正仿宋_GBK" w:hAnsi="方正仿宋_GBK" w:eastAsia="方正仿宋_GBK" w:cs="方正仿宋_GBK"/>
          <w:color w:val="auto"/>
          <w:kern w:val="0"/>
          <w:sz w:val="24"/>
          <w:szCs w:val="24"/>
          <w:lang w:eastAsia="zh-CN"/>
        </w:rPr>
        <w:t>。</w:t>
      </w:r>
    </w:p>
    <w:p w14:paraId="5CC23E00">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left"/>
        <w:textAlignment w:val="auto"/>
        <w:rPr>
          <w:rFonts w:hint="eastAsia" w:ascii="方正仿宋_GBK" w:hAnsi="方正仿宋_GBK" w:eastAsia="方正仿宋_GBK" w:cs="方正仿宋_GBK"/>
          <w:color w:val="auto"/>
          <w:kern w:val="0"/>
          <w:sz w:val="24"/>
          <w:szCs w:val="24"/>
          <w:lang w:eastAsia="zh-CN"/>
        </w:rPr>
      </w:pPr>
      <w:r>
        <w:rPr>
          <w:rFonts w:hint="eastAsia" w:ascii="方正仿宋_GBK" w:hAnsi="方正仿宋_GBK" w:eastAsia="方正仿宋_GBK" w:cs="方正仿宋_GBK"/>
          <w:color w:val="auto"/>
          <w:kern w:val="0"/>
          <w:sz w:val="24"/>
          <w:szCs w:val="24"/>
          <w:lang w:val="en-US" w:eastAsia="zh-CN"/>
        </w:rPr>
        <w:t>6-3</w:t>
      </w:r>
      <w:r>
        <w:rPr>
          <w:rFonts w:hint="eastAsia" w:ascii="方正仿宋_GBK" w:hAnsi="方正仿宋_GBK" w:eastAsia="方正仿宋_GBK" w:cs="方正仿宋_GBK"/>
          <w:color w:val="auto"/>
          <w:kern w:val="0"/>
          <w:sz w:val="24"/>
          <w:szCs w:val="24"/>
        </w:rPr>
        <w:t>、上述只有3条满足，风险等级为黄色预警</w:t>
      </w:r>
      <w:r>
        <w:rPr>
          <w:rFonts w:hint="eastAsia" w:ascii="方正仿宋_GBK" w:hAnsi="方正仿宋_GBK" w:eastAsia="方正仿宋_GBK" w:cs="方正仿宋_GBK"/>
          <w:color w:val="auto"/>
          <w:kern w:val="0"/>
          <w:sz w:val="24"/>
          <w:szCs w:val="24"/>
          <w:lang w:eastAsia="zh-CN"/>
        </w:rPr>
        <w:t>。</w:t>
      </w:r>
    </w:p>
    <w:p w14:paraId="0319C9F2">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left"/>
        <w:textAlignment w:val="auto"/>
        <w:rPr>
          <w:rFonts w:hint="eastAsia" w:ascii="方正仿宋_GBK" w:hAnsi="方正仿宋_GBK" w:eastAsia="方正仿宋_GBK" w:cs="方正仿宋_GBK"/>
          <w:color w:val="auto"/>
          <w:kern w:val="0"/>
          <w:sz w:val="24"/>
          <w:szCs w:val="24"/>
          <w:lang w:eastAsia="zh-CN"/>
        </w:rPr>
      </w:pPr>
      <w:r>
        <w:rPr>
          <w:rFonts w:hint="eastAsia" w:ascii="方正仿宋_GBK" w:hAnsi="方正仿宋_GBK" w:eastAsia="方正仿宋_GBK" w:cs="方正仿宋_GBK"/>
          <w:color w:val="auto"/>
          <w:kern w:val="0"/>
          <w:sz w:val="24"/>
          <w:szCs w:val="24"/>
          <w:lang w:val="en-US" w:eastAsia="zh-CN"/>
        </w:rPr>
        <w:t>6-4</w:t>
      </w:r>
      <w:r>
        <w:rPr>
          <w:rFonts w:hint="eastAsia" w:ascii="方正仿宋_GBK" w:hAnsi="方正仿宋_GBK" w:eastAsia="方正仿宋_GBK" w:cs="方正仿宋_GBK"/>
          <w:color w:val="auto"/>
          <w:kern w:val="0"/>
          <w:sz w:val="24"/>
          <w:szCs w:val="24"/>
        </w:rPr>
        <w:t>、上述只有2条满足，风险等级为橙色预警</w:t>
      </w:r>
      <w:r>
        <w:rPr>
          <w:rFonts w:hint="eastAsia" w:ascii="方正仿宋_GBK" w:hAnsi="方正仿宋_GBK" w:eastAsia="方正仿宋_GBK" w:cs="方正仿宋_GBK"/>
          <w:color w:val="auto"/>
          <w:kern w:val="0"/>
          <w:sz w:val="24"/>
          <w:szCs w:val="24"/>
          <w:lang w:eastAsia="zh-CN"/>
        </w:rPr>
        <w:t>。</w:t>
      </w:r>
    </w:p>
    <w:p w14:paraId="00C4C777">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left"/>
        <w:textAlignment w:val="auto"/>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lang w:val="en-US" w:eastAsia="zh-CN"/>
        </w:rPr>
        <w:t>6-5</w:t>
      </w:r>
      <w:r>
        <w:rPr>
          <w:rFonts w:hint="eastAsia" w:ascii="方正仿宋_GBK" w:hAnsi="方正仿宋_GBK" w:eastAsia="方正仿宋_GBK" w:cs="方正仿宋_GBK"/>
          <w:color w:val="auto"/>
          <w:kern w:val="0"/>
          <w:sz w:val="24"/>
          <w:szCs w:val="24"/>
        </w:rPr>
        <w:t>、上述只有1条满足，风险等级为红色预警。</w:t>
      </w:r>
    </w:p>
    <w:p w14:paraId="51CC49E1">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方正仿宋_GBK" w:hAnsi="方正仿宋_GBK" w:eastAsia="方正仿宋_GBK" w:cs="方正仿宋_GBK"/>
          <w:b/>
          <w:bCs/>
          <w:color w:val="auto"/>
          <w:kern w:val="0"/>
          <w:sz w:val="24"/>
          <w:szCs w:val="24"/>
        </w:rPr>
      </w:pPr>
      <w:r>
        <w:rPr>
          <w:rFonts w:hint="eastAsia" w:ascii="方正仿宋_GBK" w:hAnsi="方正仿宋_GBK" w:eastAsia="方正仿宋_GBK" w:cs="方正仿宋_GBK"/>
          <w:b/>
          <w:bCs/>
          <w:color w:val="auto"/>
          <w:kern w:val="0"/>
          <w:sz w:val="24"/>
          <w:szCs w:val="24"/>
          <w:lang w:eastAsia="zh-CN"/>
        </w:rPr>
        <w:t>（</w:t>
      </w:r>
      <w:r>
        <w:rPr>
          <w:rFonts w:hint="eastAsia" w:ascii="方正仿宋_GBK" w:hAnsi="方正仿宋_GBK" w:eastAsia="方正仿宋_GBK" w:cs="方正仿宋_GBK"/>
          <w:b/>
          <w:bCs/>
          <w:color w:val="auto"/>
          <w:kern w:val="0"/>
          <w:sz w:val="24"/>
          <w:szCs w:val="24"/>
          <w:lang w:val="en-US" w:eastAsia="zh-CN"/>
        </w:rPr>
        <w:t>四</w:t>
      </w:r>
      <w:r>
        <w:rPr>
          <w:rFonts w:hint="eastAsia" w:ascii="方正仿宋_GBK" w:hAnsi="方正仿宋_GBK" w:eastAsia="方正仿宋_GBK" w:cs="方正仿宋_GBK"/>
          <w:b/>
          <w:bCs/>
          <w:color w:val="auto"/>
          <w:kern w:val="0"/>
          <w:sz w:val="24"/>
          <w:szCs w:val="24"/>
          <w:lang w:eastAsia="zh-CN"/>
        </w:rPr>
        <w:t>）</w:t>
      </w:r>
      <w:r>
        <w:rPr>
          <w:rFonts w:hint="eastAsia" w:ascii="方正仿宋_GBK" w:hAnsi="方正仿宋_GBK" w:eastAsia="方正仿宋_GBK" w:cs="方正仿宋_GBK"/>
          <w:b/>
          <w:bCs/>
          <w:color w:val="auto"/>
          <w:kern w:val="0"/>
          <w:sz w:val="24"/>
          <w:szCs w:val="24"/>
        </w:rPr>
        <w:t>下列是财务风险的判断依据：</w:t>
      </w:r>
    </w:p>
    <w:p w14:paraId="1F240EBD">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left"/>
        <w:textAlignment w:val="auto"/>
        <w:rPr>
          <w:rFonts w:hint="eastAsia" w:ascii="方正仿宋_GBK" w:hAnsi="方正仿宋_GBK" w:eastAsia="方正仿宋_GBK" w:cs="方正仿宋_GBK"/>
          <w:color w:val="auto"/>
          <w:kern w:val="0"/>
          <w:sz w:val="24"/>
          <w:szCs w:val="24"/>
          <w:lang w:eastAsia="zh-CN"/>
        </w:rPr>
      </w:pPr>
      <w:r>
        <w:rPr>
          <w:rFonts w:hint="eastAsia" w:ascii="方正仿宋_GBK" w:hAnsi="方正仿宋_GBK" w:eastAsia="方正仿宋_GBK" w:cs="方正仿宋_GBK"/>
          <w:color w:val="auto"/>
          <w:kern w:val="0"/>
          <w:sz w:val="24"/>
          <w:szCs w:val="24"/>
          <w:lang w:val="en-US" w:eastAsia="zh-CN"/>
        </w:rPr>
        <w:t>1</w:t>
      </w:r>
      <w:r>
        <w:rPr>
          <w:rFonts w:hint="eastAsia" w:ascii="方正仿宋_GBK" w:hAnsi="方正仿宋_GBK" w:eastAsia="方正仿宋_GBK" w:cs="方正仿宋_GBK"/>
          <w:color w:val="auto"/>
          <w:kern w:val="0"/>
          <w:sz w:val="24"/>
          <w:szCs w:val="24"/>
        </w:rPr>
        <w:t>、预算编制依据充分、预算编制符合实际、预决算偏差较小、预算考核严格</w:t>
      </w:r>
      <w:r>
        <w:rPr>
          <w:rFonts w:hint="eastAsia" w:ascii="方正仿宋_GBK" w:hAnsi="方正仿宋_GBK" w:eastAsia="方正仿宋_GBK" w:cs="方正仿宋_GBK"/>
          <w:color w:val="auto"/>
          <w:kern w:val="0"/>
          <w:sz w:val="24"/>
          <w:szCs w:val="24"/>
          <w:lang w:eastAsia="zh-CN"/>
        </w:rPr>
        <w:t>。</w:t>
      </w:r>
    </w:p>
    <w:p w14:paraId="77E98065">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left"/>
        <w:textAlignment w:val="auto"/>
        <w:rPr>
          <w:rFonts w:hint="eastAsia" w:ascii="方正仿宋_GBK" w:hAnsi="方正仿宋_GBK" w:eastAsia="方正仿宋_GBK" w:cs="方正仿宋_GBK"/>
          <w:color w:val="auto"/>
          <w:kern w:val="0"/>
          <w:sz w:val="24"/>
          <w:szCs w:val="24"/>
          <w:lang w:eastAsia="zh-CN"/>
        </w:rPr>
      </w:pPr>
      <w:r>
        <w:rPr>
          <w:rFonts w:hint="eastAsia" w:ascii="方正仿宋_GBK" w:hAnsi="方正仿宋_GBK" w:eastAsia="方正仿宋_GBK" w:cs="方正仿宋_GBK"/>
          <w:color w:val="auto"/>
          <w:kern w:val="0"/>
          <w:sz w:val="24"/>
          <w:szCs w:val="24"/>
          <w:lang w:val="en-US" w:eastAsia="zh-CN"/>
        </w:rPr>
        <w:t>2</w:t>
      </w:r>
      <w:r>
        <w:rPr>
          <w:rFonts w:hint="eastAsia" w:ascii="方正仿宋_GBK" w:hAnsi="方正仿宋_GBK" w:eastAsia="方正仿宋_GBK" w:cs="方正仿宋_GBK"/>
          <w:color w:val="auto"/>
          <w:kern w:val="0"/>
          <w:sz w:val="24"/>
          <w:szCs w:val="24"/>
        </w:rPr>
        <w:t>、资金调度合理、会计记录准确完整及时、报销程序合理、权责划分清晰、没有重大差错、舞弊、欺诈和挪用</w:t>
      </w:r>
      <w:r>
        <w:rPr>
          <w:rFonts w:hint="eastAsia" w:ascii="方正仿宋_GBK" w:hAnsi="方正仿宋_GBK" w:eastAsia="方正仿宋_GBK" w:cs="方正仿宋_GBK"/>
          <w:color w:val="auto"/>
          <w:kern w:val="0"/>
          <w:sz w:val="24"/>
          <w:szCs w:val="24"/>
          <w:lang w:eastAsia="zh-CN"/>
        </w:rPr>
        <w:t>。</w:t>
      </w:r>
    </w:p>
    <w:p w14:paraId="63115BBD">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left"/>
        <w:textAlignment w:val="auto"/>
        <w:rPr>
          <w:rFonts w:hint="eastAsia" w:ascii="方正仿宋_GBK" w:hAnsi="方正仿宋_GBK" w:eastAsia="方正仿宋_GBK" w:cs="方正仿宋_GBK"/>
          <w:color w:val="auto"/>
          <w:kern w:val="0"/>
          <w:sz w:val="24"/>
          <w:szCs w:val="24"/>
          <w:lang w:eastAsia="zh-CN"/>
        </w:rPr>
      </w:pPr>
      <w:r>
        <w:rPr>
          <w:rFonts w:hint="eastAsia" w:ascii="方正仿宋_GBK" w:hAnsi="方正仿宋_GBK" w:eastAsia="方正仿宋_GBK" w:cs="方正仿宋_GBK"/>
          <w:color w:val="auto"/>
          <w:kern w:val="0"/>
          <w:sz w:val="24"/>
          <w:szCs w:val="24"/>
          <w:lang w:val="en-US" w:eastAsia="zh-CN"/>
        </w:rPr>
        <w:t>3</w:t>
      </w:r>
      <w:r>
        <w:rPr>
          <w:rFonts w:hint="eastAsia" w:ascii="方正仿宋_GBK" w:hAnsi="方正仿宋_GBK" w:eastAsia="方正仿宋_GBK" w:cs="方正仿宋_GBK"/>
          <w:color w:val="auto"/>
          <w:kern w:val="0"/>
          <w:sz w:val="24"/>
          <w:szCs w:val="24"/>
        </w:rPr>
        <w:t>、资金流动性充分、负债合理、资产管理有效</w:t>
      </w:r>
      <w:r>
        <w:rPr>
          <w:rFonts w:hint="eastAsia" w:ascii="方正仿宋_GBK" w:hAnsi="方正仿宋_GBK" w:eastAsia="方正仿宋_GBK" w:cs="方正仿宋_GBK"/>
          <w:color w:val="auto"/>
          <w:kern w:val="0"/>
          <w:sz w:val="24"/>
          <w:szCs w:val="24"/>
          <w:lang w:eastAsia="zh-CN"/>
        </w:rPr>
        <w:t>。</w:t>
      </w:r>
    </w:p>
    <w:p w14:paraId="4B492909">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left"/>
        <w:textAlignment w:val="auto"/>
        <w:rPr>
          <w:rFonts w:hint="eastAsia" w:ascii="方正仿宋_GBK" w:hAnsi="方正仿宋_GBK" w:eastAsia="方正仿宋_GBK" w:cs="方正仿宋_GBK"/>
          <w:color w:val="auto"/>
          <w:kern w:val="0"/>
          <w:sz w:val="24"/>
          <w:szCs w:val="24"/>
          <w:lang w:eastAsia="zh-CN"/>
        </w:rPr>
      </w:pPr>
      <w:r>
        <w:rPr>
          <w:rFonts w:hint="eastAsia" w:ascii="方正仿宋_GBK" w:hAnsi="方正仿宋_GBK" w:eastAsia="方正仿宋_GBK" w:cs="方正仿宋_GBK"/>
          <w:color w:val="auto"/>
          <w:kern w:val="0"/>
          <w:sz w:val="24"/>
          <w:szCs w:val="24"/>
          <w:lang w:val="en-US" w:eastAsia="zh-CN"/>
        </w:rPr>
        <w:t>4</w:t>
      </w:r>
      <w:r>
        <w:rPr>
          <w:rFonts w:hint="eastAsia" w:ascii="方正仿宋_GBK" w:hAnsi="方正仿宋_GBK" w:eastAsia="方正仿宋_GBK" w:cs="方正仿宋_GBK"/>
          <w:color w:val="auto"/>
          <w:kern w:val="0"/>
          <w:sz w:val="24"/>
          <w:szCs w:val="24"/>
        </w:rPr>
        <w:t>、税务筹划合理、财税政策了解充分、监督管理到位</w:t>
      </w:r>
      <w:r>
        <w:rPr>
          <w:rFonts w:hint="eastAsia" w:ascii="方正仿宋_GBK" w:hAnsi="方正仿宋_GBK" w:eastAsia="方正仿宋_GBK" w:cs="方正仿宋_GBK"/>
          <w:color w:val="auto"/>
          <w:kern w:val="0"/>
          <w:sz w:val="24"/>
          <w:szCs w:val="24"/>
          <w:lang w:eastAsia="zh-CN"/>
        </w:rPr>
        <w:t>。</w:t>
      </w:r>
    </w:p>
    <w:p w14:paraId="4B005EDC">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left"/>
        <w:textAlignment w:val="auto"/>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lang w:val="en-US" w:eastAsia="zh-CN"/>
        </w:rPr>
        <w:t>5</w:t>
      </w:r>
      <w:r>
        <w:rPr>
          <w:rFonts w:hint="eastAsia" w:ascii="方正仿宋_GBK" w:hAnsi="方正仿宋_GBK" w:eastAsia="方正仿宋_GBK" w:cs="方正仿宋_GBK"/>
          <w:color w:val="auto"/>
          <w:kern w:val="0"/>
          <w:sz w:val="24"/>
          <w:szCs w:val="24"/>
        </w:rPr>
        <w:t>、财务披露程序合理、较强的盈余能力。</w:t>
      </w:r>
    </w:p>
    <w:p w14:paraId="18CC1286">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left"/>
        <w:textAlignment w:val="auto"/>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lang w:val="en-US" w:eastAsia="zh-CN"/>
        </w:rPr>
        <w:t>6</w:t>
      </w:r>
      <w:r>
        <w:rPr>
          <w:rFonts w:hint="eastAsia" w:ascii="方正仿宋_GBK" w:hAnsi="方正仿宋_GBK" w:eastAsia="方正仿宋_GBK" w:cs="方正仿宋_GBK"/>
          <w:color w:val="auto"/>
          <w:kern w:val="0"/>
          <w:sz w:val="24"/>
          <w:szCs w:val="24"/>
        </w:rPr>
        <w:t>、下列是财务风险等级划分：</w:t>
      </w:r>
    </w:p>
    <w:p w14:paraId="41FD95D6">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left"/>
        <w:textAlignment w:val="auto"/>
        <w:rPr>
          <w:rFonts w:hint="eastAsia" w:ascii="方正仿宋_GBK" w:hAnsi="方正仿宋_GBK" w:eastAsia="方正仿宋_GBK" w:cs="方正仿宋_GBK"/>
          <w:color w:val="auto"/>
          <w:kern w:val="0"/>
          <w:sz w:val="24"/>
          <w:szCs w:val="24"/>
          <w:lang w:eastAsia="zh-CN"/>
        </w:rPr>
      </w:pPr>
      <w:r>
        <w:rPr>
          <w:rFonts w:hint="eastAsia" w:ascii="方正仿宋_GBK" w:hAnsi="方正仿宋_GBK" w:eastAsia="方正仿宋_GBK" w:cs="方正仿宋_GBK"/>
          <w:color w:val="auto"/>
          <w:kern w:val="0"/>
          <w:sz w:val="24"/>
          <w:szCs w:val="24"/>
          <w:lang w:val="en-US" w:eastAsia="zh-CN"/>
        </w:rPr>
        <w:t>6-1</w:t>
      </w:r>
      <w:r>
        <w:rPr>
          <w:rFonts w:hint="eastAsia" w:ascii="方正仿宋_GBK" w:hAnsi="方正仿宋_GBK" w:eastAsia="方正仿宋_GBK" w:cs="方正仿宋_GBK"/>
          <w:color w:val="auto"/>
          <w:kern w:val="0"/>
          <w:sz w:val="24"/>
          <w:szCs w:val="24"/>
        </w:rPr>
        <w:t>、上述5条均满足，风险等级为绿色安全</w:t>
      </w:r>
      <w:r>
        <w:rPr>
          <w:rFonts w:hint="eastAsia" w:ascii="方正仿宋_GBK" w:hAnsi="方正仿宋_GBK" w:eastAsia="方正仿宋_GBK" w:cs="方正仿宋_GBK"/>
          <w:color w:val="auto"/>
          <w:kern w:val="0"/>
          <w:sz w:val="24"/>
          <w:szCs w:val="24"/>
          <w:lang w:eastAsia="zh-CN"/>
        </w:rPr>
        <w:t>。</w:t>
      </w:r>
    </w:p>
    <w:p w14:paraId="341968B7">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left"/>
        <w:textAlignment w:val="auto"/>
        <w:rPr>
          <w:rFonts w:hint="eastAsia" w:ascii="方正仿宋_GBK" w:hAnsi="方正仿宋_GBK" w:eastAsia="方正仿宋_GBK" w:cs="方正仿宋_GBK"/>
          <w:color w:val="auto"/>
          <w:kern w:val="0"/>
          <w:sz w:val="24"/>
          <w:szCs w:val="24"/>
          <w:lang w:eastAsia="zh-CN"/>
        </w:rPr>
      </w:pPr>
      <w:r>
        <w:rPr>
          <w:rFonts w:hint="eastAsia" w:ascii="方正仿宋_GBK" w:hAnsi="方正仿宋_GBK" w:eastAsia="方正仿宋_GBK" w:cs="方正仿宋_GBK"/>
          <w:color w:val="auto"/>
          <w:kern w:val="0"/>
          <w:sz w:val="24"/>
          <w:szCs w:val="24"/>
          <w:lang w:val="en-US" w:eastAsia="zh-CN"/>
        </w:rPr>
        <w:t>6-2</w:t>
      </w:r>
      <w:r>
        <w:rPr>
          <w:rFonts w:hint="eastAsia" w:ascii="方正仿宋_GBK" w:hAnsi="方正仿宋_GBK" w:eastAsia="方正仿宋_GBK" w:cs="方正仿宋_GBK"/>
          <w:color w:val="auto"/>
          <w:kern w:val="0"/>
          <w:sz w:val="24"/>
          <w:szCs w:val="24"/>
        </w:rPr>
        <w:t>、上述只有4条满足，风险等级为蓝色预警</w:t>
      </w:r>
      <w:r>
        <w:rPr>
          <w:rFonts w:hint="eastAsia" w:ascii="方正仿宋_GBK" w:hAnsi="方正仿宋_GBK" w:eastAsia="方正仿宋_GBK" w:cs="方正仿宋_GBK"/>
          <w:color w:val="auto"/>
          <w:kern w:val="0"/>
          <w:sz w:val="24"/>
          <w:szCs w:val="24"/>
          <w:lang w:eastAsia="zh-CN"/>
        </w:rPr>
        <w:t>。</w:t>
      </w:r>
    </w:p>
    <w:p w14:paraId="040E405D">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left"/>
        <w:textAlignment w:val="auto"/>
        <w:rPr>
          <w:rFonts w:hint="eastAsia" w:ascii="方正仿宋_GBK" w:hAnsi="方正仿宋_GBK" w:eastAsia="方正仿宋_GBK" w:cs="方正仿宋_GBK"/>
          <w:color w:val="auto"/>
          <w:kern w:val="0"/>
          <w:sz w:val="24"/>
          <w:szCs w:val="24"/>
          <w:lang w:eastAsia="zh-CN"/>
        </w:rPr>
      </w:pPr>
      <w:r>
        <w:rPr>
          <w:rFonts w:hint="eastAsia" w:ascii="方正仿宋_GBK" w:hAnsi="方正仿宋_GBK" w:eastAsia="方正仿宋_GBK" w:cs="方正仿宋_GBK"/>
          <w:color w:val="auto"/>
          <w:kern w:val="0"/>
          <w:sz w:val="24"/>
          <w:szCs w:val="24"/>
          <w:lang w:val="en-US" w:eastAsia="zh-CN"/>
        </w:rPr>
        <w:t>6-3</w:t>
      </w:r>
      <w:r>
        <w:rPr>
          <w:rFonts w:hint="eastAsia" w:ascii="方正仿宋_GBK" w:hAnsi="方正仿宋_GBK" w:eastAsia="方正仿宋_GBK" w:cs="方正仿宋_GBK"/>
          <w:color w:val="auto"/>
          <w:kern w:val="0"/>
          <w:sz w:val="24"/>
          <w:szCs w:val="24"/>
        </w:rPr>
        <w:t>、上述只有3条满足，风险等级为黄色预警</w:t>
      </w:r>
      <w:r>
        <w:rPr>
          <w:rFonts w:hint="eastAsia" w:ascii="方正仿宋_GBK" w:hAnsi="方正仿宋_GBK" w:eastAsia="方正仿宋_GBK" w:cs="方正仿宋_GBK"/>
          <w:color w:val="auto"/>
          <w:kern w:val="0"/>
          <w:sz w:val="24"/>
          <w:szCs w:val="24"/>
          <w:lang w:eastAsia="zh-CN"/>
        </w:rPr>
        <w:t>。</w:t>
      </w:r>
    </w:p>
    <w:p w14:paraId="3C5A6F41">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left"/>
        <w:textAlignment w:val="auto"/>
        <w:rPr>
          <w:rFonts w:hint="eastAsia" w:ascii="方正仿宋_GBK" w:hAnsi="方正仿宋_GBK" w:eastAsia="方正仿宋_GBK" w:cs="方正仿宋_GBK"/>
          <w:color w:val="auto"/>
          <w:kern w:val="0"/>
          <w:sz w:val="24"/>
          <w:szCs w:val="24"/>
          <w:lang w:eastAsia="zh-CN"/>
        </w:rPr>
      </w:pPr>
      <w:r>
        <w:rPr>
          <w:rFonts w:hint="eastAsia" w:ascii="方正仿宋_GBK" w:hAnsi="方正仿宋_GBK" w:eastAsia="方正仿宋_GBK" w:cs="方正仿宋_GBK"/>
          <w:color w:val="auto"/>
          <w:kern w:val="0"/>
          <w:sz w:val="24"/>
          <w:szCs w:val="24"/>
          <w:lang w:val="en-US" w:eastAsia="zh-CN"/>
        </w:rPr>
        <w:t>6-4</w:t>
      </w:r>
      <w:r>
        <w:rPr>
          <w:rFonts w:hint="eastAsia" w:ascii="方正仿宋_GBK" w:hAnsi="方正仿宋_GBK" w:eastAsia="方正仿宋_GBK" w:cs="方正仿宋_GBK"/>
          <w:color w:val="auto"/>
          <w:kern w:val="0"/>
          <w:sz w:val="24"/>
          <w:szCs w:val="24"/>
        </w:rPr>
        <w:t>、上述只有2条满足，风险等级为橙色预警</w:t>
      </w:r>
      <w:r>
        <w:rPr>
          <w:rFonts w:hint="eastAsia" w:ascii="方正仿宋_GBK" w:hAnsi="方正仿宋_GBK" w:eastAsia="方正仿宋_GBK" w:cs="方正仿宋_GBK"/>
          <w:color w:val="auto"/>
          <w:kern w:val="0"/>
          <w:sz w:val="24"/>
          <w:szCs w:val="24"/>
          <w:lang w:eastAsia="zh-CN"/>
        </w:rPr>
        <w:t>。</w:t>
      </w:r>
    </w:p>
    <w:p w14:paraId="1702144E">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left"/>
        <w:textAlignment w:val="auto"/>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lang w:val="en-US" w:eastAsia="zh-CN"/>
        </w:rPr>
        <w:t>6-5</w:t>
      </w:r>
      <w:r>
        <w:rPr>
          <w:rFonts w:hint="eastAsia" w:ascii="方正仿宋_GBK" w:hAnsi="方正仿宋_GBK" w:eastAsia="方正仿宋_GBK" w:cs="方正仿宋_GBK"/>
          <w:color w:val="auto"/>
          <w:kern w:val="0"/>
          <w:sz w:val="24"/>
          <w:szCs w:val="24"/>
        </w:rPr>
        <w:t>、上述只有1条满足，风险等级为红色预警。</w:t>
      </w:r>
    </w:p>
    <w:p w14:paraId="338E5849">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方正仿宋_GBK" w:hAnsi="方正仿宋_GBK" w:eastAsia="方正仿宋_GBK" w:cs="方正仿宋_GBK"/>
          <w:b/>
          <w:bCs/>
          <w:color w:val="auto"/>
          <w:kern w:val="0"/>
          <w:sz w:val="24"/>
          <w:szCs w:val="24"/>
        </w:rPr>
      </w:pPr>
      <w:r>
        <w:rPr>
          <w:rFonts w:hint="eastAsia" w:ascii="方正仿宋_GBK" w:hAnsi="方正仿宋_GBK" w:eastAsia="方正仿宋_GBK" w:cs="方正仿宋_GBK"/>
          <w:b/>
          <w:bCs/>
          <w:color w:val="auto"/>
          <w:kern w:val="0"/>
          <w:sz w:val="24"/>
          <w:szCs w:val="24"/>
          <w:lang w:eastAsia="zh-CN"/>
        </w:rPr>
        <w:t>（</w:t>
      </w:r>
      <w:r>
        <w:rPr>
          <w:rFonts w:hint="eastAsia" w:ascii="方正仿宋_GBK" w:hAnsi="方正仿宋_GBK" w:eastAsia="方正仿宋_GBK" w:cs="方正仿宋_GBK"/>
          <w:b/>
          <w:bCs/>
          <w:color w:val="auto"/>
          <w:kern w:val="0"/>
          <w:sz w:val="24"/>
          <w:szCs w:val="24"/>
          <w:lang w:val="en-US" w:eastAsia="zh-CN"/>
        </w:rPr>
        <w:t>五</w:t>
      </w:r>
      <w:r>
        <w:rPr>
          <w:rFonts w:hint="eastAsia" w:ascii="方正仿宋_GBK" w:hAnsi="方正仿宋_GBK" w:eastAsia="方正仿宋_GBK" w:cs="方正仿宋_GBK"/>
          <w:b/>
          <w:bCs/>
          <w:color w:val="auto"/>
          <w:kern w:val="0"/>
          <w:sz w:val="24"/>
          <w:szCs w:val="24"/>
          <w:lang w:eastAsia="zh-CN"/>
        </w:rPr>
        <w:t>）</w:t>
      </w:r>
      <w:r>
        <w:rPr>
          <w:rFonts w:hint="eastAsia" w:ascii="方正仿宋_GBK" w:hAnsi="方正仿宋_GBK" w:eastAsia="方正仿宋_GBK" w:cs="方正仿宋_GBK"/>
          <w:b/>
          <w:bCs/>
          <w:color w:val="auto"/>
          <w:kern w:val="0"/>
          <w:sz w:val="24"/>
          <w:szCs w:val="24"/>
        </w:rPr>
        <w:t>下列是法律风险的判断依据：</w:t>
      </w:r>
    </w:p>
    <w:p w14:paraId="62C3F126">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left"/>
        <w:textAlignment w:val="auto"/>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lang w:val="en-US" w:eastAsia="zh-CN"/>
        </w:rPr>
        <w:t>1</w:t>
      </w:r>
      <w:r>
        <w:rPr>
          <w:rFonts w:hint="eastAsia" w:ascii="方正仿宋_GBK" w:hAnsi="方正仿宋_GBK" w:eastAsia="方正仿宋_GBK" w:cs="方正仿宋_GBK"/>
          <w:color w:val="auto"/>
          <w:kern w:val="0"/>
          <w:sz w:val="24"/>
          <w:szCs w:val="24"/>
        </w:rPr>
        <w:t>、健全的合同主体资质和信用审查程序、合同条款的有效性审查机制、健全的内部会签程序、监督履行严格；</w:t>
      </w:r>
    </w:p>
    <w:p w14:paraId="3FED6FF9">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left"/>
        <w:textAlignment w:val="auto"/>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lang w:val="en-US" w:eastAsia="zh-CN"/>
        </w:rPr>
        <w:t>2</w:t>
      </w:r>
      <w:r>
        <w:rPr>
          <w:rFonts w:hint="eastAsia" w:ascii="方正仿宋_GBK" w:hAnsi="方正仿宋_GBK" w:eastAsia="方正仿宋_GBK" w:cs="方正仿宋_GBK"/>
          <w:color w:val="auto"/>
          <w:kern w:val="0"/>
          <w:sz w:val="24"/>
          <w:szCs w:val="24"/>
        </w:rPr>
        <w:t>、健全的法律事务管理制度、制度执行到位。</w:t>
      </w:r>
    </w:p>
    <w:p w14:paraId="7D9DA622">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left"/>
        <w:textAlignment w:val="auto"/>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lang w:val="en-US" w:eastAsia="zh-CN"/>
        </w:rPr>
        <w:t>3</w:t>
      </w:r>
      <w:r>
        <w:rPr>
          <w:rFonts w:hint="eastAsia" w:ascii="方正仿宋_GBK" w:hAnsi="方正仿宋_GBK" w:eastAsia="方正仿宋_GBK" w:cs="方正仿宋_GBK"/>
          <w:color w:val="auto"/>
          <w:kern w:val="0"/>
          <w:sz w:val="24"/>
          <w:szCs w:val="24"/>
        </w:rPr>
        <w:t>、下列是法律风险等级划分：</w:t>
      </w:r>
    </w:p>
    <w:p w14:paraId="2C59FBE6">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left"/>
        <w:textAlignment w:val="auto"/>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lang w:val="en-US" w:eastAsia="zh-CN"/>
        </w:rPr>
        <w:t>3-1</w:t>
      </w:r>
      <w:r>
        <w:rPr>
          <w:rFonts w:hint="eastAsia" w:ascii="方正仿宋_GBK" w:hAnsi="方正仿宋_GBK" w:eastAsia="方正仿宋_GBK" w:cs="方正仿宋_GBK"/>
          <w:color w:val="auto"/>
          <w:kern w:val="0"/>
          <w:sz w:val="24"/>
          <w:szCs w:val="24"/>
        </w:rPr>
        <w:t>、上述2条均满足，风险等级为绿色安全；</w:t>
      </w:r>
    </w:p>
    <w:p w14:paraId="75AB3DB7">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left"/>
        <w:textAlignment w:val="auto"/>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lang w:val="en-US" w:eastAsia="zh-CN"/>
        </w:rPr>
        <w:t>3-2</w:t>
      </w:r>
      <w:r>
        <w:rPr>
          <w:rFonts w:hint="eastAsia" w:ascii="方正仿宋_GBK" w:hAnsi="方正仿宋_GBK" w:eastAsia="方正仿宋_GBK" w:cs="方正仿宋_GBK"/>
          <w:color w:val="auto"/>
          <w:kern w:val="0"/>
          <w:sz w:val="24"/>
          <w:szCs w:val="24"/>
        </w:rPr>
        <w:t>、上述只有部分条款满足，风险等级为橙色预警。</w:t>
      </w:r>
    </w:p>
    <w:p w14:paraId="2797D76C">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方正仿宋_GBK" w:hAnsi="方正仿宋_GBK" w:eastAsia="方正仿宋_GBK" w:cs="方正仿宋_GBK"/>
          <w:color w:val="auto"/>
          <w:kern w:val="0"/>
          <w:sz w:val="24"/>
          <w:szCs w:val="24"/>
          <w:lang w:val="en-US" w:eastAsia="zh-CN"/>
        </w:rPr>
      </w:pPr>
      <w:r>
        <w:rPr>
          <w:rFonts w:hint="eastAsia" w:ascii="方正仿宋_GBK" w:hAnsi="方正仿宋_GBK" w:eastAsia="方正仿宋_GBK" w:cs="方正仿宋_GBK"/>
          <w:b/>
          <w:bCs/>
          <w:color w:val="auto"/>
          <w:kern w:val="0"/>
          <w:sz w:val="24"/>
          <w:szCs w:val="24"/>
          <w:lang w:val="en-US" w:eastAsia="zh-CN"/>
        </w:rPr>
        <w:t>（六）关于机构财务危机的判断依据</w:t>
      </w:r>
    </w:p>
    <w:p w14:paraId="20AB7F64">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left"/>
        <w:textAlignment w:val="auto"/>
        <w:rPr>
          <w:rFonts w:hint="default" w:ascii="方正仿宋_GBK" w:hAnsi="方正仿宋_GBK" w:eastAsia="方正仿宋_GBK" w:cs="方正仿宋_GBK"/>
          <w:color w:val="auto"/>
          <w:kern w:val="0"/>
          <w:sz w:val="24"/>
          <w:szCs w:val="24"/>
          <w:lang w:val="en-US" w:eastAsia="zh-CN"/>
        </w:rPr>
      </w:pPr>
      <w:r>
        <w:rPr>
          <w:rFonts w:hint="eastAsia" w:ascii="方正仿宋_GBK" w:hAnsi="方正仿宋_GBK" w:eastAsia="方正仿宋_GBK" w:cs="方正仿宋_GBK"/>
          <w:color w:val="auto"/>
          <w:kern w:val="0"/>
          <w:sz w:val="24"/>
          <w:szCs w:val="24"/>
          <w:lang w:val="en-US" w:eastAsia="zh-CN"/>
        </w:rPr>
        <w:t>1、机构财务危机判断依据</w:t>
      </w:r>
    </w:p>
    <w:p w14:paraId="6531C7C5">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left"/>
        <w:textAlignment w:val="auto"/>
        <w:rPr>
          <w:rFonts w:hint="eastAsia" w:ascii="方正仿宋_GBK" w:hAnsi="方正仿宋_GBK" w:eastAsia="方正仿宋_GBK" w:cs="方正仿宋_GBK"/>
          <w:color w:val="auto"/>
          <w:kern w:val="0"/>
          <w:sz w:val="24"/>
          <w:szCs w:val="24"/>
          <w:lang w:val="en-US" w:eastAsia="zh-CN"/>
        </w:rPr>
      </w:pPr>
      <w:r>
        <w:rPr>
          <w:rFonts w:hint="eastAsia" w:ascii="方正仿宋_GBK" w:hAnsi="方正仿宋_GBK" w:eastAsia="方正仿宋_GBK" w:cs="方正仿宋_GBK"/>
          <w:color w:val="auto"/>
          <w:kern w:val="0"/>
          <w:sz w:val="24"/>
          <w:szCs w:val="24"/>
          <w:lang w:val="en-US" w:eastAsia="zh-CN"/>
        </w:rPr>
        <w:t>1-1、在保障机构现有专职人员不变情况下机构账面资金难以维持机构正常运转，一般表现为可持续运转时限低于8个月的情况（橙色预警）、低于5个月的情况（黄色预警）、低于3个月的情况（红色预警）；</w:t>
      </w:r>
    </w:p>
    <w:p w14:paraId="441B0420">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left"/>
        <w:textAlignment w:val="auto"/>
        <w:rPr>
          <w:rFonts w:hint="eastAsia" w:ascii="方正仿宋_GBK" w:hAnsi="方正仿宋_GBK" w:eastAsia="方正仿宋_GBK" w:cs="方正仿宋_GBK"/>
          <w:color w:val="auto"/>
          <w:kern w:val="0"/>
          <w:sz w:val="24"/>
          <w:szCs w:val="24"/>
          <w:lang w:val="en-US" w:eastAsia="zh-CN"/>
        </w:rPr>
      </w:pPr>
      <w:r>
        <w:rPr>
          <w:rFonts w:hint="eastAsia" w:ascii="方正仿宋_GBK" w:hAnsi="方正仿宋_GBK" w:eastAsia="方正仿宋_GBK" w:cs="方正仿宋_GBK"/>
          <w:color w:val="auto"/>
          <w:kern w:val="0"/>
          <w:sz w:val="24"/>
          <w:szCs w:val="24"/>
          <w:lang w:val="en-US" w:eastAsia="zh-CN"/>
        </w:rPr>
        <w:t>1-2、机构在出现账面资金难以维持正常运转的上述时限情况时，机构可收回和已获项目资助款项8个月内不确定能够收回，具有不可预见性的特征时。</w:t>
      </w:r>
    </w:p>
    <w:p w14:paraId="53750E55">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left"/>
        <w:textAlignment w:val="auto"/>
        <w:rPr>
          <w:rFonts w:hint="eastAsia" w:ascii="方正仿宋_GBK" w:hAnsi="方正仿宋_GBK" w:eastAsia="方正仿宋_GBK" w:cs="方正仿宋_GBK"/>
          <w:color w:val="auto"/>
          <w:kern w:val="0"/>
          <w:sz w:val="24"/>
          <w:szCs w:val="24"/>
          <w:lang w:val="en-US" w:eastAsia="zh-CN"/>
        </w:rPr>
      </w:pPr>
      <w:r>
        <w:rPr>
          <w:rFonts w:hint="eastAsia" w:ascii="方正仿宋_GBK" w:hAnsi="方正仿宋_GBK" w:eastAsia="方正仿宋_GBK" w:cs="方正仿宋_GBK"/>
          <w:color w:val="auto"/>
          <w:kern w:val="0"/>
          <w:sz w:val="24"/>
          <w:szCs w:val="24"/>
          <w:lang w:val="en-US" w:eastAsia="zh-CN"/>
        </w:rPr>
        <w:t>2、若有符合以上两个方面的情况，即确定机构进入了财务危机阶段，机构应做出积极的响应和应对措施，原则上机构应对策略方式如下：</w:t>
      </w:r>
    </w:p>
    <w:p w14:paraId="4DFE2EE3">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left"/>
        <w:textAlignment w:val="auto"/>
        <w:rPr>
          <w:rFonts w:hint="eastAsia" w:ascii="方正仿宋_GBK" w:hAnsi="方正仿宋_GBK" w:eastAsia="方正仿宋_GBK" w:cs="方正仿宋_GBK"/>
          <w:color w:val="auto"/>
          <w:kern w:val="0"/>
          <w:sz w:val="24"/>
          <w:szCs w:val="24"/>
          <w:lang w:val="en-US" w:eastAsia="zh-CN"/>
        </w:rPr>
      </w:pPr>
      <w:r>
        <w:rPr>
          <w:rFonts w:hint="eastAsia" w:ascii="方正仿宋_GBK" w:hAnsi="方正仿宋_GBK" w:eastAsia="方正仿宋_GBK" w:cs="方正仿宋_GBK"/>
          <w:color w:val="auto"/>
          <w:kern w:val="0"/>
          <w:sz w:val="24"/>
          <w:szCs w:val="24"/>
          <w:lang w:val="en-US" w:eastAsia="zh-CN"/>
        </w:rPr>
        <w:t>2-1、橙色预警情况：机构需要加大各方资源整合和项目资源拓展，加强已获资助项目的催账和积极对接款项，不断开辟创收造血的探索实践扩大资金来源渠道。</w:t>
      </w:r>
    </w:p>
    <w:p w14:paraId="70FB3616">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left"/>
        <w:textAlignment w:val="auto"/>
        <w:rPr>
          <w:rFonts w:hint="eastAsia" w:ascii="方正仿宋_GBK" w:hAnsi="方正仿宋_GBK" w:eastAsia="方正仿宋_GBK" w:cs="方正仿宋_GBK"/>
          <w:color w:val="auto"/>
          <w:kern w:val="0"/>
          <w:sz w:val="24"/>
          <w:szCs w:val="24"/>
          <w:lang w:val="en-US" w:eastAsia="zh-CN"/>
        </w:rPr>
      </w:pPr>
      <w:r>
        <w:rPr>
          <w:rFonts w:hint="eastAsia" w:ascii="方正仿宋_GBK" w:hAnsi="方正仿宋_GBK" w:eastAsia="方正仿宋_GBK" w:cs="方正仿宋_GBK"/>
          <w:color w:val="auto"/>
          <w:kern w:val="0"/>
          <w:sz w:val="24"/>
          <w:szCs w:val="24"/>
          <w:lang w:val="en-US" w:eastAsia="zh-CN"/>
        </w:rPr>
        <w:t>2-2、黄色预警情况：机构若进入黄色预警情况后，所有相关经费开支必须经机构负责人/执行理事同意后方可支出和报销；机构内部所有员工应当积极相应节约理念，非必要严禁新增设施设备，除岗位职级、岗位职责、绩效成果外其他机构发放的相关福利补贴项目可酌情予以消减或取消发放，原则上机构部门主要负责人及以上人员薪资按照当地最低工资予以发放（其他应发部分待机构情况好转后予以补发）。</w:t>
      </w:r>
    </w:p>
    <w:p w14:paraId="5BFAA161">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left"/>
        <w:textAlignment w:val="auto"/>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lang w:val="en-US" w:eastAsia="zh-CN"/>
        </w:rPr>
        <w:t>2-3、红色预警情况：机构若进入红色预警情况，应当积极与团队友好协商考虑优化人员和裁员机制，以确保机构可以持续运转；同时机构所有人员薪资只按照当地最低工资予以发放，进行全员普降薪资以应对红色财务危机的应对；鼓励有渠道和有意愿离职人员主动离职机构或机构单方面进行减员裁员予以应对危机。</w:t>
      </w:r>
    </w:p>
    <w:p w14:paraId="2623DEC3">
      <w:pPr>
        <w:keepNext w:val="0"/>
        <w:keepLines w:val="0"/>
        <w:pageBreakBefore w:val="0"/>
        <w:widowControl w:val="0"/>
        <w:kinsoku/>
        <w:wordWrap/>
        <w:overflowPunct/>
        <w:topLinePunct w:val="0"/>
        <w:autoSpaceDE/>
        <w:autoSpaceDN/>
        <w:bidi w:val="0"/>
        <w:adjustRightInd/>
        <w:snapToGrid/>
        <w:spacing w:line="320" w:lineRule="exact"/>
        <w:jc w:val="left"/>
        <w:textAlignment w:val="auto"/>
        <w:outlineLvl w:val="1"/>
        <w:rPr>
          <w:rFonts w:hint="eastAsia" w:ascii="方正仿宋_GBK" w:hAnsi="方正仿宋_GBK" w:eastAsia="方正仿宋_GBK" w:cs="方正仿宋_GBK"/>
          <w:b/>
          <w:bCs/>
          <w:color w:val="auto"/>
          <w:kern w:val="0"/>
          <w:sz w:val="24"/>
          <w:szCs w:val="24"/>
        </w:rPr>
      </w:pPr>
      <w:bookmarkStart w:id="9" w:name="_Toc18461"/>
      <w:bookmarkStart w:id="10" w:name="_Toc12475"/>
      <w:bookmarkStart w:id="11" w:name="_Toc11091"/>
      <w:r>
        <w:rPr>
          <w:rFonts w:hint="eastAsia" w:ascii="方正仿宋_GBK" w:hAnsi="方正仿宋_GBK" w:eastAsia="方正仿宋_GBK" w:cs="方正仿宋_GBK"/>
          <w:b/>
          <w:bCs/>
          <w:color w:val="auto"/>
          <w:kern w:val="0"/>
          <w:sz w:val="24"/>
          <w:szCs w:val="24"/>
        </w:rPr>
        <w:t>四</w:t>
      </w:r>
      <w:r>
        <w:rPr>
          <w:rFonts w:hint="eastAsia" w:ascii="方正仿宋_GBK" w:hAnsi="方正仿宋_GBK" w:eastAsia="方正仿宋_GBK" w:cs="方正仿宋_GBK"/>
          <w:b/>
          <w:bCs/>
          <w:color w:val="auto"/>
          <w:kern w:val="0"/>
          <w:sz w:val="24"/>
          <w:szCs w:val="24"/>
          <w:lang w:eastAsia="zh-CN"/>
        </w:rPr>
        <w:t>、</w:t>
      </w:r>
      <w:r>
        <w:rPr>
          <w:rFonts w:hint="eastAsia" w:ascii="方正仿宋_GBK" w:hAnsi="方正仿宋_GBK" w:eastAsia="方正仿宋_GBK" w:cs="方正仿宋_GBK"/>
          <w:b/>
          <w:bCs/>
          <w:color w:val="auto"/>
          <w:kern w:val="0"/>
          <w:sz w:val="24"/>
          <w:szCs w:val="24"/>
        </w:rPr>
        <w:t>风险管理措施</w:t>
      </w:r>
      <w:bookmarkEnd w:id="9"/>
      <w:bookmarkEnd w:id="10"/>
      <w:bookmarkEnd w:id="11"/>
    </w:p>
    <w:p w14:paraId="542A9799">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b/>
          <w:bCs/>
          <w:color w:val="auto"/>
          <w:kern w:val="0"/>
          <w:sz w:val="24"/>
          <w:szCs w:val="24"/>
          <w:lang w:eastAsia="zh-CN"/>
        </w:rPr>
        <w:t>（</w:t>
      </w:r>
      <w:r>
        <w:rPr>
          <w:rFonts w:hint="eastAsia" w:ascii="方正仿宋_GBK" w:hAnsi="方正仿宋_GBK" w:eastAsia="方正仿宋_GBK" w:cs="方正仿宋_GBK"/>
          <w:b/>
          <w:bCs/>
          <w:color w:val="auto"/>
          <w:kern w:val="0"/>
          <w:sz w:val="24"/>
          <w:szCs w:val="24"/>
          <w:lang w:val="en-US" w:eastAsia="zh-CN"/>
        </w:rPr>
        <w:t>一</w:t>
      </w:r>
      <w:r>
        <w:rPr>
          <w:rFonts w:hint="eastAsia" w:ascii="方正仿宋_GBK" w:hAnsi="方正仿宋_GBK" w:eastAsia="方正仿宋_GBK" w:cs="方正仿宋_GBK"/>
          <w:b/>
          <w:bCs/>
          <w:color w:val="auto"/>
          <w:kern w:val="0"/>
          <w:sz w:val="24"/>
          <w:szCs w:val="24"/>
          <w:lang w:eastAsia="zh-CN"/>
        </w:rPr>
        <w:t>）</w:t>
      </w:r>
      <w:r>
        <w:rPr>
          <w:rFonts w:hint="eastAsia" w:ascii="方正仿宋_GBK" w:hAnsi="方正仿宋_GBK" w:eastAsia="方正仿宋_GBK" w:cs="方正仿宋_GBK"/>
          <w:b/>
          <w:bCs/>
          <w:color w:val="auto"/>
          <w:kern w:val="0"/>
          <w:sz w:val="24"/>
          <w:szCs w:val="24"/>
        </w:rPr>
        <w:t>单位针对各类风险或每一项重大风险制定风险管理解决方案。</w:t>
      </w:r>
      <w:r>
        <w:rPr>
          <w:rFonts w:hint="eastAsia" w:ascii="方正仿宋_GBK" w:hAnsi="方正仿宋_GBK" w:eastAsia="方正仿宋_GBK" w:cs="方正仿宋_GBK"/>
          <w:color w:val="auto"/>
          <w:kern w:val="0"/>
          <w:sz w:val="24"/>
          <w:szCs w:val="24"/>
        </w:rPr>
        <w:t>方案一般应包括风险解决的具体目标，所需的组织领导，所涉及的管理及业务流程，所需的条件、手段等资源，风险事件发生前、中、后所采取的具体应对措施以及风险管理工具</w:t>
      </w:r>
      <w:r>
        <w:rPr>
          <w:rFonts w:hint="eastAsia" w:ascii="方正仿宋_GBK" w:hAnsi="方正仿宋_GBK" w:eastAsia="方正仿宋_GBK" w:cs="方正仿宋_GBK"/>
          <w:color w:val="auto"/>
          <w:kern w:val="0"/>
          <w:sz w:val="24"/>
          <w:szCs w:val="24"/>
          <w:lang w:eastAsia="zh-CN"/>
        </w:rPr>
        <w:t>（</w:t>
      </w:r>
      <w:r>
        <w:rPr>
          <w:rFonts w:hint="eastAsia" w:ascii="方正仿宋_GBK" w:hAnsi="方正仿宋_GBK" w:eastAsia="方正仿宋_GBK" w:cs="方正仿宋_GBK"/>
          <w:color w:val="auto"/>
          <w:kern w:val="0"/>
          <w:sz w:val="24"/>
          <w:szCs w:val="24"/>
        </w:rPr>
        <w:t>如：关键风险指标管理、损失事件管理等</w:t>
      </w:r>
      <w:r>
        <w:rPr>
          <w:rFonts w:hint="eastAsia" w:ascii="方正仿宋_GBK" w:hAnsi="方正仿宋_GBK" w:eastAsia="方正仿宋_GBK" w:cs="方正仿宋_GBK"/>
          <w:color w:val="auto"/>
          <w:kern w:val="0"/>
          <w:sz w:val="24"/>
          <w:szCs w:val="24"/>
          <w:lang w:eastAsia="zh-CN"/>
        </w:rPr>
        <w:t>）</w:t>
      </w:r>
      <w:r>
        <w:rPr>
          <w:rFonts w:hint="eastAsia" w:ascii="方正仿宋_GBK" w:hAnsi="方正仿宋_GBK" w:eastAsia="方正仿宋_GBK" w:cs="方正仿宋_GBK"/>
          <w:color w:val="auto"/>
          <w:kern w:val="0"/>
          <w:sz w:val="24"/>
          <w:szCs w:val="24"/>
        </w:rPr>
        <w:t>。</w:t>
      </w:r>
    </w:p>
    <w:p w14:paraId="6D179C43">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b/>
          <w:bCs/>
          <w:color w:val="auto"/>
          <w:kern w:val="0"/>
          <w:sz w:val="24"/>
          <w:szCs w:val="24"/>
          <w:lang w:eastAsia="zh-CN"/>
        </w:rPr>
        <w:t>（</w:t>
      </w:r>
      <w:r>
        <w:rPr>
          <w:rFonts w:hint="eastAsia" w:ascii="方正仿宋_GBK" w:hAnsi="方正仿宋_GBK" w:eastAsia="方正仿宋_GBK" w:cs="方正仿宋_GBK"/>
          <w:b/>
          <w:bCs/>
          <w:color w:val="auto"/>
          <w:kern w:val="0"/>
          <w:sz w:val="24"/>
          <w:szCs w:val="24"/>
          <w:lang w:val="en-US" w:eastAsia="zh-CN"/>
        </w:rPr>
        <w:t>二</w:t>
      </w:r>
      <w:r>
        <w:rPr>
          <w:rFonts w:hint="eastAsia" w:ascii="方正仿宋_GBK" w:hAnsi="方正仿宋_GBK" w:eastAsia="方正仿宋_GBK" w:cs="方正仿宋_GBK"/>
          <w:b/>
          <w:bCs/>
          <w:color w:val="auto"/>
          <w:kern w:val="0"/>
          <w:sz w:val="24"/>
          <w:szCs w:val="24"/>
          <w:lang w:eastAsia="zh-CN"/>
        </w:rPr>
        <w:t>）</w:t>
      </w:r>
      <w:r>
        <w:rPr>
          <w:rFonts w:hint="eastAsia" w:ascii="方正仿宋_GBK" w:hAnsi="方正仿宋_GBK" w:eastAsia="方正仿宋_GBK" w:cs="方正仿宋_GBK"/>
          <w:b/>
          <w:bCs/>
          <w:color w:val="auto"/>
          <w:kern w:val="0"/>
          <w:sz w:val="24"/>
          <w:szCs w:val="24"/>
        </w:rPr>
        <w:t>风险管理解决方案的风险解决策略</w:t>
      </w:r>
      <w:r>
        <w:rPr>
          <w:rFonts w:hint="eastAsia" w:ascii="方正仿宋_GBK" w:hAnsi="方正仿宋_GBK" w:eastAsia="方正仿宋_GBK" w:cs="方正仿宋_GBK"/>
          <w:color w:val="auto"/>
          <w:kern w:val="0"/>
          <w:sz w:val="24"/>
          <w:szCs w:val="24"/>
        </w:rPr>
        <w:t xml:space="preserve">主要包括风险规避、风险降低、风险分担和风险承受等四种策略。 </w:t>
      </w:r>
    </w:p>
    <w:p w14:paraId="198D1308">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left"/>
        <w:textAlignment w:val="auto"/>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lang w:val="en-US" w:eastAsia="zh-CN"/>
        </w:rPr>
        <w:t>1</w:t>
      </w:r>
      <w:r>
        <w:rPr>
          <w:rFonts w:hint="eastAsia" w:ascii="方正仿宋_GBK" w:hAnsi="方正仿宋_GBK" w:eastAsia="方正仿宋_GBK" w:cs="方正仿宋_GBK"/>
          <w:color w:val="auto"/>
          <w:kern w:val="0"/>
          <w:sz w:val="24"/>
          <w:szCs w:val="24"/>
        </w:rPr>
        <w:t xml:space="preserve">、风险规避是单位对超出风险承受度的风险，通过放弃或者停止与该风险相关的业务活动以避免和减轻损失的策略。  </w:t>
      </w:r>
    </w:p>
    <w:p w14:paraId="6F2222E8">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left"/>
        <w:textAlignment w:val="auto"/>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lang w:val="en-US" w:eastAsia="zh-CN"/>
        </w:rPr>
        <w:t>2</w:t>
      </w:r>
      <w:r>
        <w:rPr>
          <w:rFonts w:hint="eastAsia" w:ascii="方正仿宋_GBK" w:hAnsi="方正仿宋_GBK" w:eastAsia="方正仿宋_GBK" w:cs="方正仿宋_GBK"/>
          <w:color w:val="auto"/>
          <w:kern w:val="0"/>
          <w:sz w:val="24"/>
          <w:szCs w:val="24"/>
        </w:rPr>
        <w:t xml:space="preserve">、风险降低是单位在权衡成本效益之后，准备采取适当的控制措施降低风险或者减轻损失，将风险控制在风险承受度之内的策略。  </w:t>
      </w:r>
    </w:p>
    <w:p w14:paraId="0CFCBF2F">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left"/>
        <w:textAlignment w:val="auto"/>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lang w:val="en-US" w:eastAsia="zh-CN"/>
        </w:rPr>
        <w:t>3</w:t>
      </w:r>
      <w:r>
        <w:rPr>
          <w:rFonts w:hint="eastAsia" w:ascii="方正仿宋_GBK" w:hAnsi="方正仿宋_GBK" w:eastAsia="方正仿宋_GBK" w:cs="方正仿宋_GBK"/>
          <w:color w:val="auto"/>
          <w:kern w:val="0"/>
          <w:sz w:val="24"/>
          <w:szCs w:val="24"/>
        </w:rPr>
        <w:t xml:space="preserve">、风险分担是单位准备借助他人力量，采取业务分包、购买保险等方式和适当的控制措施，将风险控制在风险承受度之内的策略。  </w:t>
      </w:r>
    </w:p>
    <w:p w14:paraId="339C1398">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left"/>
        <w:textAlignment w:val="auto"/>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lang w:val="en-US" w:eastAsia="zh-CN"/>
        </w:rPr>
        <w:t>4</w:t>
      </w:r>
      <w:r>
        <w:rPr>
          <w:rFonts w:hint="eastAsia" w:ascii="方正仿宋_GBK" w:hAnsi="方正仿宋_GBK" w:eastAsia="方正仿宋_GBK" w:cs="方正仿宋_GBK"/>
          <w:color w:val="auto"/>
          <w:kern w:val="0"/>
          <w:sz w:val="24"/>
          <w:szCs w:val="24"/>
        </w:rPr>
        <w:t xml:space="preserve">、风险承受是单位对风险承受度之内的风险，在权衡成本效益之后，不准备采取控制措施降低风险或者减轻损失的策略。 </w:t>
      </w:r>
    </w:p>
    <w:p w14:paraId="54EA8273">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b/>
          <w:bCs/>
          <w:color w:val="auto"/>
          <w:kern w:val="0"/>
          <w:sz w:val="24"/>
          <w:szCs w:val="24"/>
          <w:lang w:eastAsia="zh-CN"/>
        </w:rPr>
        <w:t>（</w:t>
      </w:r>
      <w:r>
        <w:rPr>
          <w:rFonts w:hint="eastAsia" w:ascii="方正仿宋_GBK" w:hAnsi="方正仿宋_GBK" w:eastAsia="方正仿宋_GBK" w:cs="方正仿宋_GBK"/>
          <w:b/>
          <w:bCs/>
          <w:color w:val="auto"/>
          <w:kern w:val="0"/>
          <w:sz w:val="24"/>
          <w:szCs w:val="24"/>
          <w:lang w:val="en-US" w:eastAsia="zh-CN"/>
        </w:rPr>
        <w:t>三</w:t>
      </w:r>
      <w:r>
        <w:rPr>
          <w:rFonts w:hint="eastAsia" w:ascii="方正仿宋_GBK" w:hAnsi="方正仿宋_GBK" w:eastAsia="方正仿宋_GBK" w:cs="方正仿宋_GBK"/>
          <w:b/>
          <w:bCs/>
          <w:color w:val="auto"/>
          <w:kern w:val="0"/>
          <w:sz w:val="24"/>
          <w:szCs w:val="24"/>
          <w:lang w:eastAsia="zh-CN"/>
        </w:rPr>
        <w:t>）</w:t>
      </w:r>
      <w:r>
        <w:rPr>
          <w:rFonts w:hint="eastAsia" w:ascii="方正仿宋_GBK" w:hAnsi="方正仿宋_GBK" w:eastAsia="方正仿宋_GBK" w:cs="方正仿宋_GBK"/>
          <w:b/>
          <w:bCs/>
          <w:color w:val="auto"/>
          <w:kern w:val="0"/>
          <w:sz w:val="24"/>
          <w:szCs w:val="24"/>
        </w:rPr>
        <w:t>根据风险内容与风险等级不同可以适当采取下列措施：</w:t>
      </w:r>
    </w:p>
    <w:p w14:paraId="60387A0D">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left"/>
        <w:textAlignment w:val="auto"/>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lang w:val="en-US" w:eastAsia="zh-CN"/>
        </w:rPr>
        <w:t>1</w:t>
      </w:r>
      <w:r>
        <w:rPr>
          <w:rFonts w:hint="eastAsia" w:ascii="方正仿宋_GBK" w:hAnsi="方正仿宋_GBK" w:eastAsia="方正仿宋_GBK" w:cs="方正仿宋_GBK"/>
          <w:color w:val="auto"/>
          <w:kern w:val="0"/>
          <w:sz w:val="24"/>
          <w:szCs w:val="24"/>
        </w:rPr>
        <w:t>、建立内控岗位授权制度。对内控所涉及的各岗位明确规定授权的对象、条件、范围和额度等，任何组织和个人不得超越授权做出风险性决定。</w:t>
      </w:r>
    </w:p>
    <w:p w14:paraId="231E9508">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left"/>
        <w:textAlignment w:val="auto"/>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lang w:val="en-US" w:eastAsia="zh-CN"/>
        </w:rPr>
        <w:t>2</w:t>
      </w:r>
      <w:r>
        <w:rPr>
          <w:rFonts w:hint="eastAsia" w:ascii="方正仿宋_GBK" w:hAnsi="方正仿宋_GBK" w:eastAsia="方正仿宋_GBK" w:cs="方正仿宋_GBK"/>
          <w:color w:val="auto"/>
          <w:kern w:val="0"/>
          <w:sz w:val="24"/>
          <w:szCs w:val="24"/>
        </w:rPr>
        <w:t>、建立内控报告制度。明确规定报告人与</w:t>
      </w:r>
      <w:r>
        <w:rPr>
          <w:rFonts w:hint="eastAsia" w:ascii="方正仿宋_GBK" w:hAnsi="方正仿宋_GBK" w:eastAsia="方正仿宋_GBK" w:cs="方正仿宋_GBK"/>
          <w:color w:val="auto"/>
          <w:kern w:val="0"/>
          <w:sz w:val="24"/>
          <w:szCs w:val="24"/>
          <w:lang w:eastAsia="zh-CN"/>
        </w:rPr>
        <w:t>接收报告</w:t>
      </w:r>
      <w:r>
        <w:rPr>
          <w:rFonts w:hint="eastAsia" w:ascii="方正仿宋_GBK" w:hAnsi="方正仿宋_GBK" w:eastAsia="方正仿宋_GBK" w:cs="方正仿宋_GBK"/>
          <w:color w:val="auto"/>
          <w:kern w:val="0"/>
          <w:sz w:val="24"/>
          <w:szCs w:val="24"/>
        </w:rPr>
        <w:t>人，报告的时间、内容、频率、传递路线、负责处理报告的部门和人员等。</w:t>
      </w:r>
    </w:p>
    <w:p w14:paraId="685AE63E">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left"/>
        <w:textAlignment w:val="auto"/>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lang w:val="en-US" w:eastAsia="zh-CN"/>
        </w:rPr>
        <w:t>3</w:t>
      </w:r>
      <w:r>
        <w:rPr>
          <w:rFonts w:hint="eastAsia" w:ascii="方正仿宋_GBK" w:hAnsi="方正仿宋_GBK" w:eastAsia="方正仿宋_GBK" w:cs="方正仿宋_GBK"/>
          <w:color w:val="auto"/>
          <w:kern w:val="0"/>
          <w:sz w:val="24"/>
          <w:szCs w:val="24"/>
        </w:rPr>
        <w:t>、建立内控批准制度。对内控所涉及的重要事项，明确规定批准的程序、条件、范围和额度、必备文件以及有权批准的部门和人员及其相应责任。</w:t>
      </w:r>
    </w:p>
    <w:p w14:paraId="669421D2">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left"/>
        <w:textAlignment w:val="auto"/>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lang w:val="en-US" w:eastAsia="zh-CN"/>
        </w:rPr>
        <w:t>4</w:t>
      </w:r>
      <w:r>
        <w:rPr>
          <w:rFonts w:hint="eastAsia" w:ascii="方正仿宋_GBK" w:hAnsi="方正仿宋_GBK" w:eastAsia="方正仿宋_GBK" w:cs="方正仿宋_GBK"/>
          <w:color w:val="auto"/>
          <w:kern w:val="0"/>
          <w:sz w:val="24"/>
          <w:szCs w:val="24"/>
        </w:rPr>
        <w:t>、建立内控责任制度。按照权利、义务和责任相统一的原则，明确规定各有关部门和业务单位、岗位、人员应负的责任和奖惩制度。</w:t>
      </w:r>
    </w:p>
    <w:p w14:paraId="65433F94">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left"/>
        <w:textAlignment w:val="auto"/>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lang w:val="en-US" w:eastAsia="zh-CN"/>
        </w:rPr>
        <w:t>5</w:t>
      </w:r>
      <w:r>
        <w:rPr>
          <w:rFonts w:hint="eastAsia" w:ascii="方正仿宋_GBK" w:hAnsi="方正仿宋_GBK" w:eastAsia="方正仿宋_GBK" w:cs="方正仿宋_GBK"/>
          <w:color w:val="auto"/>
          <w:kern w:val="0"/>
          <w:sz w:val="24"/>
          <w:szCs w:val="24"/>
        </w:rPr>
        <w:t>、建立内控审计检查制度。结合内控的有关要求、方法、标准与流程，明确规定审计检查的对象、内容、方式和负责审计检查的部门等。</w:t>
      </w:r>
    </w:p>
    <w:p w14:paraId="6B9B7B1A">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left"/>
        <w:textAlignment w:val="auto"/>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lang w:val="en-US" w:eastAsia="zh-CN"/>
        </w:rPr>
        <w:t>6</w:t>
      </w:r>
      <w:r>
        <w:rPr>
          <w:rFonts w:hint="eastAsia" w:ascii="方正仿宋_GBK" w:hAnsi="方正仿宋_GBK" w:eastAsia="方正仿宋_GBK" w:cs="方正仿宋_GBK"/>
          <w:color w:val="auto"/>
          <w:kern w:val="0"/>
          <w:sz w:val="24"/>
          <w:szCs w:val="24"/>
        </w:rPr>
        <w:t>、建立内控考核评价制度。具备条件的企业应把各业务单位风险管理执行情况与绩效薪酬挂钩。</w:t>
      </w:r>
    </w:p>
    <w:p w14:paraId="3244468A">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left"/>
        <w:textAlignment w:val="auto"/>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lang w:val="en-US" w:eastAsia="zh-CN"/>
        </w:rPr>
        <w:t>7</w:t>
      </w:r>
      <w:r>
        <w:rPr>
          <w:rFonts w:hint="eastAsia" w:ascii="方正仿宋_GBK" w:hAnsi="方正仿宋_GBK" w:eastAsia="方正仿宋_GBK" w:cs="方正仿宋_GBK"/>
          <w:color w:val="auto"/>
          <w:kern w:val="0"/>
          <w:sz w:val="24"/>
          <w:szCs w:val="24"/>
        </w:rPr>
        <w:t>、建立重大风险预警制度。对重大风险进行持续不断</w:t>
      </w:r>
      <w:r>
        <w:rPr>
          <w:rFonts w:hint="eastAsia" w:ascii="方正仿宋_GBK" w:hAnsi="方正仿宋_GBK" w:eastAsia="方正仿宋_GBK" w:cs="方正仿宋_GBK"/>
          <w:color w:val="auto"/>
          <w:kern w:val="0"/>
          <w:sz w:val="24"/>
          <w:szCs w:val="24"/>
          <w:lang w:eastAsia="zh-CN"/>
        </w:rPr>
        <w:t>地</w:t>
      </w:r>
      <w:r>
        <w:rPr>
          <w:rFonts w:hint="eastAsia" w:ascii="方正仿宋_GBK" w:hAnsi="方正仿宋_GBK" w:eastAsia="方正仿宋_GBK" w:cs="方正仿宋_GBK"/>
          <w:color w:val="auto"/>
          <w:kern w:val="0"/>
          <w:sz w:val="24"/>
          <w:szCs w:val="24"/>
        </w:rPr>
        <w:t>监测，及时发布预警信息，制定应急预案，并根据情况变化调整控制措施；</w:t>
      </w:r>
    </w:p>
    <w:p w14:paraId="0EB6039D">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left"/>
        <w:textAlignment w:val="auto"/>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lang w:val="en-US" w:eastAsia="zh-CN"/>
        </w:rPr>
        <w:t>8</w:t>
      </w:r>
      <w:r>
        <w:rPr>
          <w:rFonts w:hint="eastAsia" w:ascii="方正仿宋_GBK" w:hAnsi="方正仿宋_GBK" w:eastAsia="方正仿宋_GBK" w:cs="方正仿宋_GBK"/>
          <w:color w:val="auto"/>
          <w:kern w:val="0"/>
          <w:sz w:val="24"/>
          <w:szCs w:val="24"/>
        </w:rPr>
        <w:t>、建立健全以总法律顾问制度为核心的单位法律顾问制度。大力加强法律风险防范机制建设，形成由单位决策层主导、单位总法律顾问牵头、单位法律顾问提供业务保障、全体员工共同参与的法律风险责任体系。完善单位重大法律纠纷案件的备案管理制度。</w:t>
      </w:r>
    </w:p>
    <w:p w14:paraId="1EF03B90">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left"/>
        <w:textAlignment w:val="auto"/>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lang w:val="en-US" w:eastAsia="zh-CN"/>
        </w:rPr>
        <w:t>9</w:t>
      </w:r>
      <w:r>
        <w:rPr>
          <w:rFonts w:hint="eastAsia" w:ascii="方正仿宋_GBK" w:hAnsi="方正仿宋_GBK" w:eastAsia="方正仿宋_GBK" w:cs="方正仿宋_GBK"/>
          <w:color w:val="auto"/>
          <w:kern w:val="0"/>
          <w:sz w:val="24"/>
          <w:szCs w:val="24"/>
        </w:rPr>
        <w:t xml:space="preserve">、建立重要岗位权力制衡制度，明确规定不相容职责的分离。主要包括：授权批准、业务经办、会计记录、财产保管和稽核检查等职责。对内控所涉及的重要岗位可设臵一岗双人、双职、双责，相互制约；明确该岗位的上级部门或人员对其应采取的监督措施和应负的监督责任；将该岗位作为内部审计的重点等。 </w:t>
      </w:r>
    </w:p>
    <w:p w14:paraId="64ED78B3">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单位风险控制负责人员经授权，可以兼任内部风险控制制度内相关职责岗位，并主持、组织单位及职能部门的相关内部风险控制工作。</w:t>
      </w:r>
    </w:p>
    <w:p w14:paraId="1CEC55D6">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b/>
          <w:bCs/>
          <w:color w:val="auto"/>
          <w:kern w:val="0"/>
          <w:sz w:val="24"/>
          <w:szCs w:val="24"/>
          <w:lang w:eastAsia="zh-CN"/>
        </w:rPr>
        <w:t>（</w:t>
      </w:r>
      <w:r>
        <w:rPr>
          <w:rFonts w:hint="eastAsia" w:ascii="方正仿宋_GBK" w:hAnsi="方正仿宋_GBK" w:eastAsia="方正仿宋_GBK" w:cs="方正仿宋_GBK"/>
          <w:b/>
          <w:bCs/>
          <w:color w:val="auto"/>
          <w:kern w:val="0"/>
          <w:sz w:val="24"/>
          <w:szCs w:val="24"/>
          <w:lang w:val="en-US" w:eastAsia="zh-CN"/>
        </w:rPr>
        <w:t>四</w:t>
      </w:r>
      <w:r>
        <w:rPr>
          <w:rFonts w:hint="eastAsia" w:ascii="方正仿宋_GBK" w:hAnsi="方正仿宋_GBK" w:eastAsia="方正仿宋_GBK" w:cs="方正仿宋_GBK"/>
          <w:b/>
          <w:bCs/>
          <w:color w:val="auto"/>
          <w:kern w:val="0"/>
          <w:sz w:val="24"/>
          <w:szCs w:val="24"/>
          <w:lang w:eastAsia="zh-CN"/>
        </w:rPr>
        <w:t>）</w:t>
      </w:r>
      <w:r>
        <w:rPr>
          <w:rFonts w:hint="eastAsia" w:ascii="方正仿宋_GBK" w:hAnsi="方正仿宋_GBK" w:eastAsia="方正仿宋_GBK" w:cs="方正仿宋_GBK"/>
          <w:b/>
          <w:bCs/>
          <w:color w:val="auto"/>
          <w:kern w:val="0"/>
          <w:sz w:val="24"/>
          <w:szCs w:val="24"/>
          <w:lang w:val="en-US" w:eastAsia="zh-CN"/>
        </w:rPr>
        <w:t>其中若机构出现财务危机的情况，按照财务危机应对策略进行应对。</w:t>
      </w:r>
    </w:p>
    <w:p w14:paraId="37DDBEF9">
      <w:pPr>
        <w:keepNext w:val="0"/>
        <w:keepLines w:val="0"/>
        <w:pageBreakBefore w:val="0"/>
        <w:widowControl w:val="0"/>
        <w:kinsoku/>
        <w:wordWrap/>
        <w:overflowPunct/>
        <w:topLinePunct w:val="0"/>
        <w:autoSpaceDE/>
        <w:autoSpaceDN/>
        <w:bidi w:val="0"/>
        <w:adjustRightInd/>
        <w:snapToGrid/>
        <w:spacing w:line="320" w:lineRule="exact"/>
        <w:jc w:val="left"/>
        <w:textAlignment w:val="auto"/>
        <w:outlineLvl w:val="1"/>
        <w:rPr>
          <w:rFonts w:hint="eastAsia" w:ascii="方正仿宋_GBK" w:hAnsi="方正仿宋_GBK" w:eastAsia="方正仿宋_GBK" w:cs="方正仿宋_GBK"/>
          <w:b/>
          <w:bCs/>
          <w:color w:val="auto"/>
          <w:kern w:val="0"/>
          <w:sz w:val="24"/>
          <w:szCs w:val="24"/>
        </w:rPr>
      </w:pPr>
      <w:bookmarkStart w:id="12" w:name="_Toc9401"/>
      <w:bookmarkStart w:id="13" w:name="_Toc966"/>
      <w:bookmarkStart w:id="14" w:name="_Toc4815"/>
      <w:r>
        <w:rPr>
          <w:rFonts w:hint="eastAsia" w:ascii="方正仿宋_GBK" w:hAnsi="方正仿宋_GBK" w:eastAsia="方正仿宋_GBK" w:cs="方正仿宋_GBK"/>
          <w:b/>
          <w:bCs/>
          <w:color w:val="auto"/>
          <w:kern w:val="0"/>
          <w:sz w:val="24"/>
          <w:szCs w:val="24"/>
        </w:rPr>
        <w:t>五</w:t>
      </w:r>
      <w:r>
        <w:rPr>
          <w:rFonts w:hint="eastAsia" w:ascii="方正仿宋_GBK" w:hAnsi="方正仿宋_GBK" w:eastAsia="方正仿宋_GBK" w:cs="方正仿宋_GBK"/>
          <w:b/>
          <w:bCs/>
          <w:color w:val="auto"/>
          <w:kern w:val="0"/>
          <w:sz w:val="24"/>
          <w:szCs w:val="24"/>
          <w:lang w:eastAsia="zh-CN"/>
        </w:rPr>
        <w:t>、</w:t>
      </w:r>
      <w:r>
        <w:rPr>
          <w:rFonts w:hint="eastAsia" w:ascii="方正仿宋_GBK" w:hAnsi="方正仿宋_GBK" w:eastAsia="方正仿宋_GBK" w:cs="方正仿宋_GBK"/>
          <w:b/>
          <w:bCs/>
          <w:color w:val="auto"/>
          <w:kern w:val="0"/>
          <w:sz w:val="24"/>
          <w:szCs w:val="24"/>
        </w:rPr>
        <w:t>风险管理监督</w:t>
      </w:r>
      <w:bookmarkEnd w:id="12"/>
      <w:bookmarkEnd w:id="13"/>
      <w:bookmarkEnd w:id="14"/>
    </w:p>
    <w:p w14:paraId="29F2BA26">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lang w:eastAsia="zh-CN"/>
        </w:rPr>
        <w:t>（</w:t>
      </w:r>
      <w:r>
        <w:rPr>
          <w:rFonts w:hint="eastAsia" w:ascii="方正仿宋_GBK" w:hAnsi="方正仿宋_GBK" w:eastAsia="方正仿宋_GBK" w:cs="方正仿宋_GBK"/>
          <w:color w:val="auto"/>
          <w:kern w:val="0"/>
          <w:sz w:val="24"/>
          <w:szCs w:val="24"/>
          <w:lang w:val="en-US" w:eastAsia="zh-CN"/>
        </w:rPr>
        <w:t>一</w:t>
      </w:r>
      <w:r>
        <w:rPr>
          <w:rFonts w:hint="eastAsia" w:ascii="方正仿宋_GBK" w:hAnsi="方正仿宋_GBK" w:eastAsia="方正仿宋_GBK" w:cs="方正仿宋_GBK"/>
          <w:color w:val="auto"/>
          <w:kern w:val="0"/>
          <w:sz w:val="24"/>
          <w:szCs w:val="24"/>
          <w:lang w:eastAsia="zh-CN"/>
        </w:rPr>
        <w:t>）</w:t>
      </w:r>
      <w:r>
        <w:rPr>
          <w:rFonts w:hint="eastAsia" w:ascii="方正仿宋_GBK" w:hAnsi="方正仿宋_GBK" w:eastAsia="方正仿宋_GBK" w:cs="方正仿宋_GBK"/>
          <w:color w:val="auto"/>
          <w:kern w:val="0"/>
          <w:sz w:val="24"/>
          <w:szCs w:val="24"/>
        </w:rPr>
        <w:t xml:space="preserve">单位风险评估报告由负责风险控制的部门组织各职能部门、经过风险识别和风险评价，从实际出发，紧密围绕当前市场形势和机构发展的实际需要而最终形成。 </w:t>
      </w:r>
    </w:p>
    <w:p w14:paraId="1488B18B">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lang w:eastAsia="zh-CN"/>
        </w:rPr>
        <w:t>（</w:t>
      </w:r>
      <w:r>
        <w:rPr>
          <w:rFonts w:hint="eastAsia" w:ascii="方正仿宋_GBK" w:hAnsi="方正仿宋_GBK" w:eastAsia="方正仿宋_GBK" w:cs="方正仿宋_GBK"/>
          <w:color w:val="auto"/>
          <w:kern w:val="0"/>
          <w:sz w:val="24"/>
          <w:szCs w:val="24"/>
          <w:lang w:val="en-US" w:eastAsia="zh-CN"/>
        </w:rPr>
        <w:t>二</w:t>
      </w:r>
      <w:r>
        <w:rPr>
          <w:rFonts w:hint="eastAsia" w:ascii="方正仿宋_GBK" w:hAnsi="方正仿宋_GBK" w:eastAsia="方正仿宋_GBK" w:cs="方正仿宋_GBK"/>
          <w:color w:val="auto"/>
          <w:kern w:val="0"/>
          <w:sz w:val="24"/>
          <w:szCs w:val="24"/>
          <w:lang w:eastAsia="zh-CN"/>
        </w:rPr>
        <w:t>）</w:t>
      </w:r>
      <w:r>
        <w:rPr>
          <w:rFonts w:hint="eastAsia" w:ascii="方正仿宋_GBK" w:hAnsi="方正仿宋_GBK" w:eastAsia="方正仿宋_GBK" w:cs="方正仿宋_GBK"/>
          <w:color w:val="auto"/>
          <w:kern w:val="0"/>
          <w:sz w:val="24"/>
          <w:szCs w:val="24"/>
        </w:rPr>
        <w:t>风险评估报告的制定应坚持全面性和重要性原则，客观真实</w:t>
      </w:r>
      <w:r>
        <w:rPr>
          <w:rFonts w:hint="eastAsia" w:ascii="方正仿宋_GBK" w:hAnsi="方正仿宋_GBK" w:eastAsia="方正仿宋_GBK" w:cs="方正仿宋_GBK"/>
          <w:color w:val="auto"/>
          <w:kern w:val="0"/>
          <w:sz w:val="24"/>
          <w:szCs w:val="24"/>
          <w:lang w:eastAsia="zh-CN"/>
        </w:rPr>
        <w:t>地</w:t>
      </w:r>
      <w:r>
        <w:rPr>
          <w:rFonts w:hint="eastAsia" w:ascii="方正仿宋_GBK" w:hAnsi="方正仿宋_GBK" w:eastAsia="方正仿宋_GBK" w:cs="方正仿宋_GBK"/>
          <w:color w:val="auto"/>
          <w:kern w:val="0"/>
          <w:sz w:val="24"/>
          <w:szCs w:val="24"/>
        </w:rPr>
        <w:t>反映当前运营活动中可能存在的问题和有针对性、可操作性的风险解决方案。</w:t>
      </w:r>
    </w:p>
    <w:p w14:paraId="558D3944">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lang w:eastAsia="zh-CN"/>
        </w:rPr>
        <w:t>（</w:t>
      </w:r>
      <w:r>
        <w:rPr>
          <w:rFonts w:hint="eastAsia" w:ascii="方正仿宋_GBK" w:hAnsi="方正仿宋_GBK" w:eastAsia="方正仿宋_GBK" w:cs="方正仿宋_GBK"/>
          <w:color w:val="auto"/>
          <w:kern w:val="0"/>
          <w:sz w:val="24"/>
          <w:szCs w:val="24"/>
          <w:lang w:val="en-US" w:eastAsia="zh-CN"/>
        </w:rPr>
        <w:t>三</w:t>
      </w:r>
      <w:r>
        <w:rPr>
          <w:rFonts w:hint="eastAsia" w:ascii="方正仿宋_GBK" w:hAnsi="方正仿宋_GBK" w:eastAsia="方正仿宋_GBK" w:cs="方正仿宋_GBK"/>
          <w:color w:val="auto"/>
          <w:kern w:val="0"/>
          <w:sz w:val="24"/>
          <w:szCs w:val="24"/>
          <w:lang w:eastAsia="zh-CN"/>
        </w:rPr>
        <w:t>）</w:t>
      </w:r>
      <w:r>
        <w:rPr>
          <w:rFonts w:hint="eastAsia" w:ascii="方正仿宋_GBK" w:hAnsi="方正仿宋_GBK" w:eastAsia="方正仿宋_GBK" w:cs="方正仿宋_GBK"/>
          <w:color w:val="auto"/>
          <w:kern w:val="0"/>
          <w:sz w:val="24"/>
          <w:szCs w:val="24"/>
        </w:rPr>
        <w:t>风险评估报告分为定期综合报告和重大事项特殊报告。定期综合报告是指单位负责风险控制的部门定期收集单位各职能部门提交的针对其自身当前主要风险的识别、评估、解决和监控的报告，最终汇总而成的单位整体在该时期的风险管理综合性报告。重大事项特殊报告是指单位针对临时性、突发性、影响单位全局的风险因素进行识别、评估和解决等方面工作的风险报告。</w:t>
      </w:r>
    </w:p>
    <w:p w14:paraId="141D369F">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lang w:eastAsia="zh-CN"/>
        </w:rPr>
        <w:t>（</w:t>
      </w:r>
      <w:r>
        <w:rPr>
          <w:rFonts w:hint="eastAsia" w:ascii="方正仿宋_GBK" w:hAnsi="方正仿宋_GBK" w:eastAsia="方正仿宋_GBK" w:cs="方正仿宋_GBK"/>
          <w:color w:val="auto"/>
          <w:kern w:val="0"/>
          <w:sz w:val="24"/>
          <w:szCs w:val="24"/>
          <w:lang w:val="en-US" w:eastAsia="zh-CN"/>
        </w:rPr>
        <w:t>四</w:t>
      </w:r>
      <w:r>
        <w:rPr>
          <w:rFonts w:hint="eastAsia" w:ascii="方正仿宋_GBK" w:hAnsi="方正仿宋_GBK" w:eastAsia="方正仿宋_GBK" w:cs="方正仿宋_GBK"/>
          <w:color w:val="auto"/>
          <w:kern w:val="0"/>
          <w:sz w:val="24"/>
          <w:szCs w:val="24"/>
          <w:lang w:eastAsia="zh-CN"/>
        </w:rPr>
        <w:t>）</w:t>
      </w:r>
      <w:r>
        <w:rPr>
          <w:rFonts w:hint="eastAsia" w:ascii="方正仿宋_GBK" w:hAnsi="方正仿宋_GBK" w:eastAsia="方正仿宋_GBK" w:cs="方正仿宋_GBK"/>
          <w:color w:val="auto"/>
          <w:kern w:val="0"/>
          <w:sz w:val="24"/>
          <w:szCs w:val="24"/>
        </w:rPr>
        <w:t>单位各职能部门应</w:t>
      </w:r>
      <w:r>
        <w:rPr>
          <w:rFonts w:hint="eastAsia" w:ascii="方正仿宋_GBK" w:hAnsi="方正仿宋_GBK" w:eastAsia="方正仿宋_GBK" w:cs="方正仿宋_GBK"/>
          <w:color w:val="auto"/>
          <w:kern w:val="0"/>
          <w:sz w:val="24"/>
          <w:szCs w:val="24"/>
          <w:lang w:val="en-US" w:eastAsia="zh-CN"/>
        </w:rPr>
        <w:t>按照机构</w:t>
      </w:r>
      <w:r>
        <w:rPr>
          <w:rFonts w:hint="eastAsia" w:ascii="方正仿宋_GBK" w:hAnsi="方正仿宋_GBK" w:eastAsia="方正仿宋_GBK" w:cs="方正仿宋_GBK"/>
          <w:color w:val="auto"/>
          <w:kern w:val="0"/>
          <w:sz w:val="24"/>
          <w:szCs w:val="24"/>
        </w:rPr>
        <w:t xml:space="preserve">要求向单位报告风险管理报告。该报告应具备全面性、真实性、针对性、及时性，能够反映出该部门在该时期的全面风险点及具备实操性的解决方案。负责风险控制的部门经汇总、分析、整理后，形成单位年度风险管理报告，并于每年4月底前上报机构理事会。单位年度风险管理报告内容应包括风险管理基本情况、上一年度风险解决情况总结、本年度风险评估结果及本年度风险解决方案等。 </w:t>
      </w:r>
    </w:p>
    <w:p w14:paraId="5537B09D">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lang w:eastAsia="zh-CN"/>
        </w:rPr>
        <w:t>（</w:t>
      </w:r>
      <w:r>
        <w:rPr>
          <w:rFonts w:hint="eastAsia" w:ascii="方正仿宋_GBK" w:hAnsi="方正仿宋_GBK" w:eastAsia="方正仿宋_GBK" w:cs="方正仿宋_GBK"/>
          <w:color w:val="auto"/>
          <w:kern w:val="0"/>
          <w:sz w:val="24"/>
          <w:szCs w:val="24"/>
          <w:lang w:val="en-US" w:eastAsia="zh-CN"/>
        </w:rPr>
        <w:t>五</w:t>
      </w:r>
      <w:r>
        <w:rPr>
          <w:rFonts w:hint="eastAsia" w:ascii="方正仿宋_GBK" w:hAnsi="方正仿宋_GBK" w:eastAsia="方正仿宋_GBK" w:cs="方正仿宋_GBK"/>
          <w:color w:val="auto"/>
          <w:kern w:val="0"/>
          <w:sz w:val="24"/>
          <w:szCs w:val="24"/>
          <w:lang w:eastAsia="zh-CN"/>
        </w:rPr>
        <w:t>）</w:t>
      </w:r>
      <w:r>
        <w:rPr>
          <w:rFonts w:hint="eastAsia" w:ascii="方正仿宋_GBK" w:hAnsi="方正仿宋_GBK" w:eastAsia="方正仿宋_GBK" w:cs="方正仿宋_GBK"/>
          <w:color w:val="auto"/>
          <w:kern w:val="0"/>
          <w:sz w:val="24"/>
          <w:szCs w:val="24"/>
        </w:rPr>
        <w:t>重大事项特殊报告由各职能部门根据其实际情况</w:t>
      </w:r>
      <w:r>
        <w:rPr>
          <w:rFonts w:hint="eastAsia" w:ascii="方正仿宋_GBK" w:hAnsi="方正仿宋_GBK" w:eastAsia="方正仿宋_GBK" w:cs="方正仿宋_GBK"/>
          <w:color w:val="auto"/>
          <w:kern w:val="0"/>
          <w:sz w:val="24"/>
          <w:szCs w:val="24"/>
          <w:lang w:val="en-US" w:eastAsia="zh-CN"/>
        </w:rPr>
        <w:t>编撰</w:t>
      </w:r>
      <w:r>
        <w:rPr>
          <w:rFonts w:hint="eastAsia" w:ascii="方正仿宋_GBK" w:hAnsi="方正仿宋_GBK" w:eastAsia="方正仿宋_GBK" w:cs="方正仿宋_GBK"/>
          <w:color w:val="auto"/>
          <w:kern w:val="0"/>
          <w:sz w:val="24"/>
          <w:szCs w:val="24"/>
        </w:rPr>
        <w:t>，并及时报送单位负责风险控制的部门，由其提交机构理事会审议。重大事项特殊报告应重点报告单位突发事件及重大决策事项，报告内容应简明扼要，内容包括但不限于风险描述、风险分析、风险解决方案、现有解决措施及风险解决反应时限等。</w:t>
      </w:r>
    </w:p>
    <w:p w14:paraId="197D8CE5">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lang w:eastAsia="zh-CN"/>
        </w:rPr>
        <w:t>（</w:t>
      </w:r>
      <w:r>
        <w:rPr>
          <w:rFonts w:hint="eastAsia" w:ascii="方正仿宋_GBK" w:hAnsi="方正仿宋_GBK" w:eastAsia="方正仿宋_GBK" w:cs="方正仿宋_GBK"/>
          <w:color w:val="auto"/>
          <w:kern w:val="0"/>
          <w:sz w:val="24"/>
          <w:szCs w:val="24"/>
          <w:lang w:val="en-US" w:eastAsia="zh-CN"/>
        </w:rPr>
        <w:t>六</w:t>
      </w:r>
      <w:r>
        <w:rPr>
          <w:rFonts w:hint="eastAsia" w:ascii="方正仿宋_GBK" w:hAnsi="方正仿宋_GBK" w:eastAsia="方正仿宋_GBK" w:cs="方正仿宋_GBK"/>
          <w:color w:val="auto"/>
          <w:kern w:val="0"/>
          <w:sz w:val="24"/>
          <w:szCs w:val="24"/>
          <w:lang w:eastAsia="zh-CN"/>
        </w:rPr>
        <w:t>）</w:t>
      </w:r>
      <w:r>
        <w:rPr>
          <w:rFonts w:hint="eastAsia" w:ascii="方正仿宋_GBK" w:hAnsi="方正仿宋_GBK" w:eastAsia="方正仿宋_GBK" w:cs="方正仿宋_GBK"/>
          <w:color w:val="auto"/>
          <w:kern w:val="0"/>
          <w:sz w:val="24"/>
          <w:szCs w:val="24"/>
        </w:rPr>
        <w:t>风险评估报告的填写和报送应严格遵守单位的保密规定，任何参与风险报告填报工作的部门、单位和个人均对报告相关事项负有保密义务，不得擅自披露有关信息。</w:t>
      </w:r>
    </w:p>
    <w:p w14:paraId="0A617D86">
      <w:pPr>
        <w:keepNext w:val="0"/>
        <w:keepLines w:val="0"/>
        <w:pageBreakBefore w:val="0"/>
        <w:widowControl w:val="0"/>
        <w:kinsoku/>
        <w:wordWrap/>
        <w:overflowPunct/>
        <w:topLinePunct w:val="0"/>
        <w:autoSpaceDE/>
        <w:autoSpaceDN/>
        <w:bidi w:val="0"/>
        <w:adjustRightInd/>
        <w:snapToGrid/>
        <w:spacing w:line="320" w:lineRule="exact"/>
        <w:jc w:val="left"/>
        <w:textAlignment w:val="auto"/>
        <w:outlineLvl w:val="1"/>
        <w:rPr>
          <w:rFonts w:hint="eastAsia" w:ascii="方正仿宋_GBK" w:hAnsi="方正仿宋_GBK" w:eastAsia="方正仿宋_GBK" w:cs="方正仿宋_GBK"/>
          <w:b/>
          <w:bCs/>
          <w:color w:val="auto"/>
          <w:kern w:val="0"/>
          <w:sz w:val="24"/>
          <w:szCs w:val="24"/>
        </w:rPr>
      </w:pPr>
      <w:bookmarkStart w:id="15" w:name="_Toc1036"/>
      <w:bookmarkStart w:id="16" w:name="_Toc16529"/>
      <w:bookmarkStart w:id="17" w:name="_Toc7100"/>
      <w:r>
        <w:rPr>
          <w:rFonts w:hint="eastAsia" w:ascii="方正仿宋_GBK" w:hAnsi="方正仿宋_GBK" w:eastAsia="方正仿宋_GBK" w:cs="方正仿宋_GBK"/>
          <w:b/>
          <w:bCs/>
          <w:color w:val="auto"/>
          <w:kern w:val="0"/>
          <w:sz w:val="24"/>
          <w:szCs w:val="24"/>
        </w:rPr>
        <w:t>六</w:t>
      </w:r>
      <w:r>
        <w:rPr>
          <w:rFonts w:hint="eastAsia" w:ascii="方正仿宋_GBK" w:hAnsi="方正仿宋_GBK" w:eastAsia="方正仿宋_GBK" w:cs="方正仿宋_GBK"/>
          <w:b/>
          <w:bCs/>
          <w:color w:val="auto"/>
          <w:kern w:val="0"/>
          <w:sz w:val="24"/>
          <w:szCs w:val="24"/>
          <w:lang w:eastAsia="zh-CN"/>
        </w:rPr>
        <w:t>、</w:t>
      </w:r>
      <w:r>
        <w:rPr>
          <w:rFonts w:hint="eastAsia" w:ascii="方正仿宋_GBK" w:hAnsi="方正仿宋_GBK" w:eastAsia="方正仿宋_GBK" w:cs="方正仿宋_GBK"/>
          <w:b/>
          <w:bCs/>
          <w:color w:val="auto"/>
          <w:kern w:val="0"/>
          <w:sz w:val="24"/>
          <w:szCs w:val="24"/>
        </w:rPr>
        <w:t>风险管理文化</w:t>
      </w:r>
      <w:bookmarkEnd w:id="15"/>
      <w:bookmarkEnd w:id="16"/>
      <w:bookmarkEnd w:id="17"/>
    </w:p>
    <w:p w14:paraId="69E80752">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lang w:eastAsia="zh-CN"/>
        </w:rPr>
        <w:t>（</w:t>
      </w:r>
      <w:r>
        <w:rPr>
          <w:rFonts w:hint="eastAsia" w:ascii="方正仿宋_GBK" w:hAnsi="方正仿宋_GBK" w:eastAsia="方正仿宋_GBK" w:cs="方正仿宋_GBK"/>
          <w:color w:val="auto"/>
          <w:kern w:val="0"/>
          <w:sz w:val="24"/>
          <w:szCs w:val="24"/>
          <w:lang w:val="en-US" w:eastAsia="zh-CN"/>
        </w:rPr>
        <w:t>一</w:t>
      </w:r>
      <w:r>
        <w:rPr>
          <w:rFonts w:hint="eastAsia" w:ascii="方正仿宋_GBK" w:hAnsi="方正仿宋_GBK" w:eastAsia="方正仿宋_GBK" w:cs="方正仿宋_GBK"/>
          <w:color w:val="auto"/>
          <w:kern w:val="0"/>
          <w:sz w:val="24"/>
          <w:szCs w:val="24"/>
          <w:lang w:eastAsia="zh-CN"/>
        </w:rPr>
        <w:t>）</w:t>
      </w:r>
      <w:r>
        <w:rPr>
          <w:rFonts w:hint="eastAsia" w:ascii="方正仿宋_GBK" w:hAnsi="方正仿宋_GBK" w:eastAsia="方正仿宋_GBK" w:cs="方正仿宋_GBK"/>
          <w:color w:val="auto"/>
          <w:kern w:val="0"/>
          <w:sz w:val="24"/>
          <w:szCs w:val="24"/>
        </w:rPr>
        <w:t xml:space="preserve">单位应注重建立具有风险意识的组织文化，促进单位风险管理水平、员工风险管理素质提升，保障组织风险管理目标实现。 </w:t>
      </w:r>
    </w:p>
    <w:p w14:paraId="6B2D4CAD">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lang w:eastAsia="zh-CN"/>
        </w:rPr>
        <w:t>（</w:t>
      </w:r>
      <w:r>
        <w:rPr>
          <w:rFonts w:hint="eastAsia" w:ascii="方正仿宋_GBK" w:hAnsi="方正仿宋_GBK" w:eastAsia="方正仿宋_GBK" w:cs="方正仿宋_GBK"/>
          <w:color w:val="auto"/>
          <w:kern w:val="0"/>
          <w:sz w:val="24"/>
          <w:szCs w:val="24"/>
          <w:lang w:val="en-US" w:eastAsia="zh-CN"/>
        </w:rPr>
        <w:t>二</w:t>
      </w:r>
      <w:r>
        <w:rPr>
          <w:rFonts w:hint="eastAsia" w:ascii="方正仿宋_GBK" w:hAnsi="方正仿宋_GBK" w:eastAsia="方正仿宋_GBK" w:cs="方正仿宋_GBK"/>
          <w:color w:val="auto"/>
          <w:kern w:val="0"/>
          <w:sz w:val="24"/>
          <w:szCs w:val="24"/>
          <w:lang w:eastAsia="zh-CN"/>
        </w:rPr>
        <w:t>）</w:t>
      </w:r>
      <w:r>
        <w:rPr>
          <w:rFonts w:hint="eastAsia" w:ascii="方正仿宋_GBK" w:hAnsi="方正仿宋_GBK" w:eastAsia="方正仿宋_GBK" w:cs="方正仿宋_GBK"/>
          <w:color w:val="auto"/>
          <w:kern w:val="0"/>
          <w:sz w:val="24"/>
          <w:szCs w:val="24"/>
        </w:rPr>
        <w:t xml:space="preserve">单位全体员工尤其是各级管理人员和业务操作人员应通过多种形式，努力传播机构风险管理文化，牢固树立风险无处不在、风险无时不在、严格防控纯粹风险、审慎处置机会风险、岗位风险管理责任重大等意识和理念。 </w:t>
      </w:r>
    </w:p>
    <w:p w14:paraId="5B0BB200">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lang w:eastAsia="zh-CN"/>
        </w:rPr>
        <w:t>（</w:t>
      </w:r>
      <w:r>
        <w:rPr>
          <w:rFonts w:hint="eastAsia" w:ascii="方正仿宋_GBK" w:hAnsi="方正仿宋_GBK" w:eastAsia="方正仿宋_GBK" w:cs="方正仿宋_GBK"/>
          <w:color w:val="auto"/>
          <w:kern w:val="0"/>
          <w:sz w:val="24"/>
          <w:szCs w:val="24"/>
          <w:lang w:val="en-US" w:eastAsia="zh-CN"/>
        </w:rPr>
        <w:t>三</w:t>
      </w:r>
      <w:r>
        <w:rPr>
          <w:rFonts w:hint="eastAsia" w:ascii="方正仿宋_GBK" w:hAnsi="方正仿宋_GBK" w:eastAsia="方正仿宋_GBK" w:cs="方正仿宋_GBK"/>
          <w:color w:val="auto"/>
          <w:kern w:val="0"/>
          <w:sz w:val="24"/>
          <w:szCs w:val="24"/>
          <w:lang w:eastAsia="zh-CN"/>
        </w:rPr>
        <w:t>）</w:t>
      </w:r>
      <w:r>
        <w:rPr>
          <w:rFonts w:hint="eastAsia" w:ascii="方正仿宋_GBK" w:hAnsi="方正仿宋_GBK" w:eastAsia="方正仿宋_GBK" w:cs="方正仿宋_GBK"/>
          <w:color w:val="auto"/>
          <w:kern w:val="0"/>
          <w:sz w:val="24"/>
          <w:szCs w:val="24"/>
        </w:rPr>
        <w:t>单位负责风险控制的部门应按照本制度的精神及管理办法，针对机构各职能部门进行相关风险管理工作的培训。</w:t>
      </w:r>
    </w:p>
    <w:p w14:paraId="4E0A20D3">
      <w:pPr>
        <w:keepNext w:val="0"/>
        <w:keepLines w:val="0"/>
        <w:pageBreakBefore w:val="0"/>
        <w:widowControl w:val="0"/>
        <w:kinsoku/>
        <w:wordWrap/>
        <w:overflowPunct/>
        <w:topLinePunct w:val="0"/>
        <w:autoSpaceDE/>
        <w:autoSpaceDN/>
        <w:bidi w:val="0"/>
        <w:adjustRightInd/>
        <w:snapToGrid/>
        <w:spacing w:line="320" w:lineRule="exact"/>
        <w:jc w:val="left"/>
        <w:textAlignment w:val="auto"/>
        <w:outlineLvl w:val="1"/>
        <w:rPr>
          <w:rFonts w:hint="eastAsia" w:ascii="方正仿宋_GBK" w:hAnsi="方正仿宋_GBK" w:eastAsia="方正仿宋_GBK" w:cs="方正仿宋_GBK"/>
          <w:b/>
          <w:bCs/>
          <w:color w:val="auto"/>
          <w:kern w:val="0"/>
          <w:sz w:val="24"/>
          <w:szCs w:val="24"/>
        </w:rPr>
      </w:pPr>
      <w:bookmarkStart w:id="18" w:name="_Toc28636"/>
      <w:bookmarkStart w:id="19" w:name="_Toc235"/>
      <w:bookmarkStart w:id="20" w:name="_Toc19749"/>
      <w:r>
        <w:rPr>
          <w:rFonts w:hint="eastAsia" w:ascii="方正仿宋_GBK" w:hAnsi="方正仿宋_GBK" w:eastAsia="方正仿宋_GBK" w:cs="方正仿宋_GBK"/>
          <w:b/>
          <w:bCs/>
          <w:color w:val="auto"/>
          <w:kern w:val="0"/>
          <w:sz w:val="24"/>
          <w:szCs w:val="24"/>
        </w:rPr>
        <w:t>七</w:t>
      </w:r>
      <w:r>
        <w:rPr>
          <w:rFonts w:hint="eastAsia" w:ascii="方正仿宋_GBK" w:hAnsi="方正仿宋_GBK" w:eastAsia="方正仿宋_GBK" w:cs="方正仿宋_GBK"/>
          <w:b/>
          <w:bCs/>
          <w:color w:val="auto"/>
          <w:kern w:val="0"/>
          <w:sz w:val="24"/>
          <w:szCs w:val="24"/>
          <w:lang w:eastAsia="zh-CN"/>
        </w:rPr>
        <w:t>、</w:t>
      </w:r>
      <w:r>
        <w:rPr>
          <w:rFonts w:hint="eastAsia" w:ascii="方正仿宋_GBK" w:hAnsi="方正仿宋_GBK" w:eastAsia="方正仿宋_GBK" w:cs="方正仿宋_GBK"/>
          <w:b/>
          <w:bCs/>
          <w:color w:val="auto"/>
          <w:kern w:val="0"/>
          <w:sz w:val="24"/>
          <w:szCs w:val="24"/>
        </w:rPr>
        <w:t>附则</w:t>
      </w:r>
      <w:bookmarkEnd w:id="18"/>
      <w:bookmarkEnd w:id="19"/>
      <w:bookmarkEnd w:id="20"/>
    </w:p>
    <w:p w14:paraId="7D523B17">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lang w:eastAsia="zh-CN"/>
        </w:rPr>
        <w:t>（</w:t>
      </w:r>
      <w:r>
        <w:rPr>
          <w:rFonts w:hint="eastAsia" w:ascii="方正仿宋_GBK" w:hAnsi="方正仿宋_GBK" w:eastAsia="方正仿宋_GBK" w:cs="方正仿宋_GBK"/>
          <w:color w:val="auto"/>
          <w:kern w:val="0"/>
          <w:sz w:val="24"/>
          <w:szCs w:val="24"/>
          <w:lang w:val="en-US" w:eastAsia="zh-CN"/>
        </w:rPr>
        <w:t>一</w:t>
      </w:r>
      <w:r>
        <w:rPr>
          <w:rFonts w:hint="eastAsia" w:ascii="方正仿宋_GBK" w:hAnsi="方正仿宋_GBK" w:eastAsia="方正仿宋_GBK" w:cs="方正仿宋_GBK"/>
          <w:color w:val="auto"/>
          <w:kern w:val="0"/>
          <w:sz w:val="24"/>
          <w:szCs w:val="24"/>
          <w:lang w:eastAsia="zh-CN"/>
        </w:rPr>
        <w:t>）</w:t>
      </w:r>
      <w:r>
        <w:rPr>
          <w:rFonts w:hint="eastAsia" w:ascii="方正仿宋_GBK" w:hAnsi="方正仿宋_GBK" w:eastAsia="方正仿宋_GBK" w:cs="方正仿宋_GBK"/>
          <w:color w:val="auto"/>
          <w:kern w:val="0"/>
          <w:sz w:val="24"/>
          <w:szCs w:val="24"/>
        </w:rPr>
        <w:t>本制度由</w:t>
      </w:r>
      <w:r>
        <w:rPr>
          <w:rFonts w:hint="eastAsia" w:ascii="方正仿宋_GBK" w:hAnsi="方正仿宋_GBK" w:eastAsia="方正仿宋_GBK" w:cs="方正仿宋_GBK"/>
          <w:color w:val="auto"/>
          <w:kern w:val="0"/>
          <w:sz w:val="24"/>
          <w:szCs w:val="24"/>
          <w:lang w:eastAsia="zh-CN"/>
        </w:rPr>
        <w:t>综合行政部、</w:t>
      </w:r>
      <w:r>
        <w:rPr>
          <w:rFonts w:hint="eastAsia" w:ascii="方正仿宋_GBK" w:hAnsi="方正仿宋_GBK" w:eastAsia="方正仿宋_GBK" w:cs="方正仿宋_GBK"/>
          <w:color w:val="auto"/>
          <w:kern w:val="0"/>
          <w:sz w:val="24"/>
          <w:szCs w:val="24"/>
          <w:lang w:val="en-US" w:eastAsia="zh-CN"/>
        </w:rPr>
        <w:t>社会服务部、</w:t>
      </w:r>
      <w:r>
        <w:rPr>
          <w:rFonts w:hint="eastAsia" w:ascii="方正仿宋_GBK" w:hAnsi="方正仿宋_GBK" w:eastAsia="方正仿宋_GBK" w:cs="方正仿宋_GBK"/>
          <w:color w:val="auto"/>
          <w:kern w:val="0"/>
          <w:sz w:val="24"/>
          <w:szCs w:val="24"/>
          <w:lang w:eastAsia="zh-CN"/>
        </w:rPr>
        <w:t>公共事务部</w:t>
      </w:r>
      <w:r>
        <w:rPr>
          <w:rFonts w:hint="eastAsia" w:ascii="方正仿宋_GBK" w:hAnsi="方正仿宋_GBK" w:eastAsia="方正仿宋_GBK" w:cs="方正仿宋_GBK"/>
          <w:color w:val="auto"/>
          <w:kern w:val="0"/>
          <w:sz w:val="24"/>
          <w:szCs w:val="24"/>
        </w:rPr>
        <w:t>负责牵头修订和落实工作。</w:t>
      </w:r>
    </w:p>
    <w:p w14:paraId="7C8C4069">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sz w:val="24"/>
          <w:szCs w:val="24"/>
        </w:rPr>
      </w:pPr>
      <w:r>
        <w:rPr>
          <w:rFonts w:hint="eastAsia" w:ascii="方正仿宋_GBK" w:hAnsi="方正仿宋_GBK" w:eastAsia="方正仿宋_GBK" w:cs="方正仿宋_GBK"/>
          <w:color w:val="auto"/>
          <w:kern w:val="0"/>
          <w:sz w:val="24"/>
          <w:szCs w:val="24"/>
          <w:lang w:eastAsia="zh-CN"/>
        </w:rPr>
        <w:t>（</w:t>
      </w:r>
      <w:r>
        <w:rPr>
          <w:rFonts w:hint="eastAsia" w:ascii="方正仿宋_GBK" w:hAnsi="方正仿宋_GBK" w:eastAsia="方正仿宋_GBK" w:cs="方正仿宋_GBK"/>
          <w:color w:val="auto"/>
          <w:kern w:val="0"/>
          <w:sz w:val="24"/>
          <w:szCs w:val="24"/>
          <w:lang w:val="en-US" w:eastAsia="zh-CN"/>
        </w:rPr>
        <w:t>二</w:t>
      </w:r>
      <w:r>
        <w:rPr>
          <w:rFonts w:hint="eastAsia" w:ascii="方正仿宋_GBK" w:hAnsi="方正仿宋_GBK" w:eastAsia="方正仿宋_GBK" w:cs="方正仿宋_GBK"/>
          <w:color w:val="auto"/>
          <w:kern w:val="0"/>
          <w:sz w:val="24"/>
          <w:szCs w:val="24"/>
          <w:lang w:eastAsia="zh-CN"/>
        </w:rPr>
        <w:t>）</w:t>
      </w:r>
      <w:r>
        <w:rPr>
          <w:rFonts w:hint="eastAsia" w:ascii="方正仿宋_GBK" w:hAnsi="方正仿宋_GBK" w:eastAsia="方正仿宋_GBK" w:cs="方正仿宋_GBK"/>
          <w:color w:val="auto"/>
          <w:kern w:val="0"/>
          <w:sz w:val="24"/>
          <w:szCs w:val="24"/>
        </w:rPr>
        <w:t>本制度</w:t>
      </w:r>
      <w:r>
        <w:rPr>
          <w:rFonts w:hint="eastAsia" w:ascii="方正仿宋_GBK" w:hAnsi="方正仿宋_GBK" w:eastAsia="方正仿宋_GBK" w:cs="方正仿宋_GBK"/>
          <w:color w:val="auto"/>
          <w:kern w:val="0"/>
          <w:sz w:val="24"/>
          <w:szCs w:val="24"/>
          <w:lang w:val="en-US" w:eastAsia="zh-CN"/>
        </w:rPr>
        <w:t>自2023年10月13日执行，</w:t>
      </w:r>
      <w:r>
        <w:rPr>
          <w:rFonts w:hint="eastAsia" w:ascii="方正仿宋_GBK" w:hAnsi="方正仿宋_GBK" w:eastAsia="方正仿宋_GBK" w:cs="方正仿宋_GBK"/>
          <w:color w:val="auto"/>
          <w:kern w:val="0"/>
          <w:sz w:val="24"/>
          <w:szCs w:val="24"/>
        </w:rPr>
        <w:t>由机构理事会负责解释。</w:t>
      </w:r>
      <w:bookmarkStart w:id="21" w:name="_GoBack"/>
      <w:bookmarkEnd w:id="21"/>
    </w:p>
    <w:p w14:paraId="350ED03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altName w:val="微软雅黑"/>
    <w:panose1 w:val="02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891223"/>
    <w:rsid w:val="598912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2026-01-08T05:26:00Z</dcterms:created>
  <dc:creator>花丸轮子</dc:creator>
  <cp:lastModifiedBy>花丸轮子</cp:lastModifiedBy>
  <dcterms:modified xsi:type="dcterms:W3CDTF">2026-01-08T05:26:44Z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F4F1F7EC1BCD4428B9282557168826DA_11</vt:lpwstr>
  </property>
  <property fmtid="{D5CDD505-2E9C-101B-9397-08002B2CF9AE}" pid="4" name="KSOTemplateDocerSaveRecord">
    <vt:lpwstr>eyJoZGlkIjoiMzZiMjMzYTAwY2MxOWRiNDM5MGZjOWMwMDFiZjJkMzQiLCJ1c2VySWQiOiIxMjc4MDIwMjAzIn0=</vt:lpwstr>
  </property>
</Properties>
</file>